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65" w:rsidRDefault="00FA1365" w:rsidP="00326C32">
      <w:pPr>
        <w:jc w:val="center"/>
        <w:rPr>
          <w:b/>
          <w:sz w:val="36"/>
          <w:szCs w:val="36"/>
        </w:rPr>
      </w:pPr>
    </w:p>
    <w:p w:rsidR="004E191F" w:rsidRDefault="004E191F" w:rsidP="00326C32">
      <w:pPr>
        <w:jc w:val="center"/>
        <w:rPr>
          <w:b/>
          <w:sz w:val="36"/>
          <w:szCs w:val="36"/>
        </w:rPr>
      </w:pPr>
    </w:p>
    <w:p w:rsidR="007D4508" w:rsidRPr="00395F72" w:rsidRDefault="00326C32" w:rsidP="00326C32">
      <w:pPr>
        <w:jc w:val="center"/>
        <w:rPr>
          <w:b/>
          <w:sz w:val="36"/>
          <w:szCs w:val="36"/>
        </w:rPr>
      </w:pPr>
      <w:r w:rsidRPr="00395F72">
        <w:rPr>
          <w:b/>
          <w:sz w:val="36"/>
          <w:szCs w:val="36"/>
        </w:rPr>
        <w:t>REPUBLIKA HRVATSKA</w:t>
      </w:r>
    </w:p>
    <w:p w:rsidR="00326C32" w:rsidRPr="00395F72" w:rsidRDefault="0083008B" w:rsidP="00326C32">
      <w:pPr>
        <w:jc w:val="center"/>
        <w:rPr>
          <w:b/>
          <w:sz w:val="36"/>
          <w:szCs w:val="36"/>
        </w:rPr>
      </w:pPr>
      <w:r>
        <w:rPr>
          <w:b/>
          <w:sz w:val="36"/>
          <w:szCs w:val="36"/>
        </w:rPr>
        <w:t>MINISTARSTVO ZDRAVSTVA</w:t>
      </w:r>
    </w:p>
    <w:p w:rsidR="007D4508" w:rsidRPr="00BB4D23" w:rsidRDefault="00326C32" w:rsidP="00326C32">
      <w:pPr>
        <w:jc w:val="right"/>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7D4508" w:rsidRPr="00BB4D23" w:rsidRDefault="007D4508" w:rsidP="00BB4D23">
      <w:pPr>
        <w:rPr>
          <w:sz w:val="36"/>
          <w:szCs w:val="36"/>
        </w:rPr>
      </w:pPr>
    </w:p>
    <w:p w:rsidR="007D4508" w:rsidRPr="00BB4D23" w:rsidRDefault="007D4508" w:rsidP="00BB4D23">
      <w:pPr>
        <w:rPr>
          <w:sz w:val="36"/>
          <w:szCs w:val="36"/>
        </w:rPr>
      </w:pPr>
    </w:p>
    <w:p w:rsidR="007D4508" w:rsidRDefault="007D4508" w:rsidP="00BB4D23">
      <w:pPr>
        <w:rPr>
          <w:sz w:val="36"/>
          <w:szCs w:val="36"/>
        </w:rPr>
      </w:pPr>
    </w:p>
    <w:p w:rsidR="00BB4D23" w:rsidRDefault="00BB4D23" w:rsidP="00BB4D23">
      <w:pPr>
        <w:rPr>
          <w:sz w:val="36"/>
          <w:szCs w:val="36"/>
        </w:rPr>
      </w:pPr>
    </w:p>
    <w:p w:rsidR="00BB4D23" w:rsidRPr="00BB4D23" w:rsidRDefault="00BB4D23" w:rsidP="00BB4D23">
      <w:pPr>
        <w:rPr>
          <w:sz w:val="36"/>
          <w:szCs w:val="36"/>
        </w:rPr>
      </w:pPr>
    </w:p>
    <w:p w:rsidR="007D4508" w:rsidRDefault="007D4508" w:rsidP="00BB4D23">
      <w:pPr>
        <w:rPr>
          <w:sz w:val="36"/>
          <w:szCs w:val="36"/>
        </w:rPr>
      </w:pPr>
    </w:p>
    <w:p w:rsidR="00BB4D23" w:rsidRPr="00BB4D23" w:rsidRDefault="00BB4D23" w:rsidP="00BB4D23">
      <w:pPr>
        <w:rPr>
          <w:sz w:val="36"/>
          <w:szCs w:val="36"/>
        </w:rPr>
      </w:pPr>
    </w:p>
    <w:p w:rsidR="007D4508" w:rsidRPr="00326C32" w:rsidRDefault="007D4508" w:rsidP="00BB4D23">
      <w:pPr>
        <w:jc w:val="center"/>
        <w:rPr>
          <w:b/>
          <w:sz w:val="52"/>
          <w:szCs w:val="52"/>
        </w:rPr>
      </w:pPr>
      <w:bookmarkStart w:id="0" w:name="_Toc430653453"/>
      <w:bookmarkStart w:id="1" w:name="_Toc430654019"/>
      <w:r w:rsidRPr="00326C32">
        <w:rPr>
          <w:b/>
          <w:sz w:val="52"/>
          <w:szCs w:val="52"/>
        </w:rPr>
        <w:t>Nacionalni program za kontrolu</w:t>
      </w:r>
      <w:bookmarkEnd w:id="0"/>
      <w:bookmarkEnd w:id="1"/>
    </w:p>
    <w:p w:rsidR="007D4508" w:rsidRPr="00326C32" w:rsidRDefault="007D4508" w:rsidP="00BB4D23">
      <w:pPr>
        <w:jc w:val="center"/>
        <w:rPr>
          <w:b/>
          <w:sz w:val="52"/>
          <w:szCs w:val="52"/>
        </w:rPr>
      </w:pPr>
      <w:bookmarkStart w:id="2" w:name="_Toc430653454"/>
      <w:bookmarkStart w:id="3" w:name="_Toc430654020"/>
      <w:r w:rsidRPr="00326C32">
        <w:rPr>
          <w:b/>
          <w:sz w:val="52"/>
          <w:szCs w:val="52"/>
        </w:rPr>
        <w:t>otpornosti bakterija na antibiotike</w:t>
      </w:r>
      <w:bookmarkEnd w:id="2"/>
      <w:bookmarkEnd w:id="3"/>
    </w:p>
    <w:p w:rsidR="007D4508" w:rsidRPr="00326C32" w:rsidRDefault="007D4508" w:rsidP="00BB4D23">
      <w:pPr>
        <w:jc w:val="center"/>
        <w:rPr>
          <w:b/>
          <w:sz w:val="52"/>
          <w:szCs w:val="52"/>
        </w:rPr>
      </w:pPr>
      <w:bookmarkStart w:id="4" w:name="_Toc430653455"/>
      <w:bookmarkStart w:id="5" w:name="_Toc430654021"/>
      <w:r w:rsidRPr="00326C32">
        <w:rPr>
          <w:b/>
          <w:sz w:val="52"/>
          <w:szCs w:val="52"/>
        </w:rPr>
        <w:t>201</w:t>
      </w:r>
      <w:r w:rsidR="0083008B">
        <w:rPr>
          <w:b/>
          <w:sz w:val="52"/>
          <w:szCs w:val="52"/>
        </w:rPr>
        <w:t>7. – 2021</w:t>
      </w:r>
      <w:r w:rsidRPr="00326C32">
        <w:rPr>
          <w:b/>
          <w:sz w:val="52"/>
          <w:szCs w:val="52"/>
        </w:rPr>
        <w:t>.</w:t>
      </w:r>
      <w:bookmarkEnd w:id="4"/>
      <w:bookmarkEnd w:id="5"/>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BB4D23" w:rsidRDefault="007D4508" w:rsidP="00BB4D23">
      <w:pPr>
        <w:rPr>
          <w:sz w:val="36"/>
          <w:szCs w:val="36"/>
        </w:rPr>
      </w:pPr>
    </w:p>
    <w:p w:rsidR="007D4508" w:rsidRPr="00326C32" w:rsidRDefault="007D4508" w:rsidP="00BB4D23">
      <w:pPr>
        <w:jc w:val="center"/>
        <w:rPr>
          <w:b/>
          <w:sz w:val="36"/>
          <w:szCs w:val="36"/>
        </w:rPr>
      </w:pPr>
      <w:bookmarkStart w:id="6" w:name="_Toc430653456"/>
      <w:bookmarkStart w:id="7" w:name="_Toc430654022"/>
      <w:r w:rsidRPr="00326C32">
        <w:rPr>
          <w:b/>
          <w:sz w:val="36"/>
          <w:szCs w:val="36"/>
        </w:rPr>
        <w:t xml:space="preserve">Zagreb, </w:t>
      </w:r>
      <w:r w:rsidR="00222D02">
        <w:rPr>
          <w:b/>
          <w:sz w:val="36"/>
          <w:szCs w:val="36"/>
        </w:rPr>
        <w:t>studeni</w:t>
      </w:r>
      <w:r w:rsidRPr="00326C32">
        <w:rPr>
          <w:b/>
          <w:sz w:val="36"/>
          <w:szCs w:val="36"/>
        </w:rPr>
        <w:t xml:space="preserve"> 201</w:t>
      </w:r>
      <w:r w:rsidR="0083008B">
        <w:rPr>
          <w:b/>
          <w:sz w:val="36"/>
          <w:szCs w:val="36"/>
        </w:rPr>
        <w:t>7</w:t>
      </w:r>
      <w:r w:rsidRPr="00326C32">
        <w:rPr>
          <w:b/>
          <w:sz w:val="36"/>
          <w:szCs w:val="36"/>
        </w:rPr>
        <w:t>.</w:t>
      </w:r>
      <w:bookmarkEnd w:id="6"/>
      <w:bookmarkEnd w:id="7"/>
    </w:p>
    <w:p w:rsidR="00952A25" w:rsidRPr="00BB4D23" w:rsidRDefault="00952A25" w:rsidP="00BB4D23">
      <w:pPr>
        <w:rPr>
          <w:sz w:val="36"/>
          <w:szCs w:val="36"/>
        </w:rPr>
      </w:pPr>
    </w:p>
    <w:sdt>
      <w:sdtPr>
        <w:rPr>
          <w:rFonts w:ascii="Times New Roman" w:eastAsia="MS Mincho" w:hAnsi="Times New Roman" w:cs="Times New Roman"/>
          <w:b w:val="0"/>
          <w:bCs w:val="0"/>
          <w:color w:val="auto"/>
          <w:sz w:val="24"/>
          <w:szCs w:val="24"/>
          <w:lang w:eastAsia="ja-JP"/>
        </w:rPr>
        <w:id w:val="1061294424"/>
        <w:docPartObj>
          <w:docPartGallery w:val="Table of Contents"/>
          <w:docPartUnique/>
        </w:docPartObj>
      </w:sdtPr>
      <w:sdtEndPr/>
      <w:sdtContent>
        <w:p w:rsidR="00BB4D23" w:rsidRDefault="00BB4D23">
          <w:pPr>
            <w:pStyle w:val="TOCNaslov"/>
          </w:pPr>
          <w:r>
            <w:t>Sadržaj</w:t>
          </w:r>
        </w:p>
        <w:p w:rsidR="00AA1AD5" w:rsidRDefault="00850E77">
          <w:pPr>
            <w:pStyle w:val="Sadraj1"/>
            <w:rPr>
              <w:rFonts w:asciiTheme="minorHAnsi" w:eastAsiaTheme="minorEastAsia" w:hAnsiTheme="minorHAnsi" w:cstheme="minorBidi"/>
              <w:noProof/>
              <w:sz w:val="22"/>
              <w:szCs w:val="22"/>
              <w:lang w:eastAsia="hr-HR"/>
            </w:rPr>
          </w:pPr>
          <w:r>
            <w:fldChar w:fldCharType="begin"/>
          </w:r>
          <w:r w:rsidR="00BB4D23">
            <w:instrText xml:space="preserve"> TOC \o "1-3" \h \z \u </w:instrText>
          </w:r>
          <w:r>
            <w:fldChar w:fldCharType="separate"/>
          </w:r>
          <w:hyperlink w:anchor="_Toc498334030" w:history="1">
            <w:r w:rsidR="00AA1AD5" w:rsidRPr="005D732E">
              <w:rPr>
                <w:rStyle w:val="Hiperveza"/>
                <w:noProof/>
              </w:rPr>
              <w:t xml:space="preserve">1   </w:t>
            </w:r>
            <w:r w:rsidR="00AA1AD5">
              <w:rPr>
                <w:rStyle w:val="Hiperveza"/>
                <w:noProof/>
              </w:rPr>
              <w:t xml:space="preserve">   </w:t>
            </w:r>
            <w:r w:rsidR="00AA1AD5" w:rsidRPr="005D732E">
              <w:rPr>
                <w:rStyle w:val="Hiperveza"/>
                <w:noProof/>
              </w:rPr>
              <w:t>UVOD</w:t>
            </w:r>
            <w:r w:rsidR="00AA1AD5">
              <w:rPr>
                <w:noProof/>
                <w:webHidden/>
              </w:rPr>
              <w:tab/>
            </w:r>
            <w:r w:rsidR="00AA1AD5">
              <w:rPr>
                <w:noProof/>
                <w:webHidden/>
              </w:rPr>
              <w:fldChar w:fldCharType="begin"/>
            </w:r>
            <w:r w:rsidR="00AA1AD5">
              <w:rPr>
                <w:noProof/>
                <w:webHidden/>
              </w:rPr>
              <w:instrText xml:space="preserve"> PAGEREF _Toc498334030 \h </w:instrText>
            </w:r>
            <w:r w:rsidR="00AA1AD5">
              <w:rPr>
                <w:noProof/>
                <w:webHidden/>
              </w:rPr>
            </w:r>
            <w:r w:rsidR="00AA1AD5">
              <w:rPr>
                <w:noProof/>
                <w:webHidden/>
              </w:rPr>
              <w:fldChar w:fldCharType="separate"/>
            </w:r>
            <w:r w:rsidR="00AA1AD5">
              <w:rPr>
                <w:noProof/>
                <w:webHidden/>
              </w:rPr>
              <w:t>3</w:t>
            </w:r>
            <w:r w:rsidR="00AA1AD5">
              <w:rPr>
                <w:noProof/>
                <w:webHidden/>
              </w:rPr>
              <w:fldChar w:fldCharType="end"/>
            </w:r>
          </w:hyperlink>
        </w:p>
        <w:p w:rsidR="00AA1AD5" w:rsidRDefault="00D102EB">
          <w:pPr>
            <w:pStyle w:val="Sadraj1"/>
            <w:rPr>
              <w:rFonts w:asciiTheme="minorHAnsi" w:eastAsiaTheme="minorEastAsia" w:hAnsiTheme="minorHAnsi" w:cstheme="minorBidi"/>
              <w:noProof/>
              <w:sz w:val="22"/>
              <w:szCs w:val="22"/>
              <w:lang w:eastAsia="hr-HR"/>
            </w:rPr>
          </w:pPr>
          <w:hyperlink w:anchor="_Toc498334031" w:history="1">
            <w:r w:rsidR="00AA1AD5" w:rsidRPr="005D732E">
              <w:rPr>
                <w:rStyle w:val="Hiperveza"/>
                <w:noProof/>
              </w:rPr>
              <w:t>2</w:t>
            </w:r>
            <w:r w:rsidR="00AA1AD5">
              <w:rPr>
                <w:rFonts w:asciiTheme="minorHAnsi" w:eastAsiaTheme="minorEastAsia" w:hAnsiTheme="minorHAnsi" w:cstheme="minorBidi"/>
                <w:noProof/>
                <w:sz w:val="22"/>
                <w:szCs w:val="22"/>
                <w:lang w:eastAsia="hr-HR"/>
              </w:rPr>
              <w:tab/>
            </w:r>
            <w:r w:rsidR="00AA1AD5" w:rsidRPr="005D732E">
              <w:rPr>
                <w:rStyle w:val="Hiperveza"/>
                <w:noProof/>
              </w:rPr>
              <w:t>ANALIZA SITUACIJE</w:t>
            </w:r>
            <w:r w:rsidR="00AA1AD5">
              <w:rPr>
                <w:noProof/>
                <w:webHidden/>
              </w:rPr>
              <w:tab/>
            </w:r>
            <w:r w:rsidR="00AA1AD5">
              <w:rPr>
                <w:noProof/>
                <w:webHidden/>
              </w:rPr>
              <w:fldChar w:fldCharType="begin"/>
            </w:r>
            <w:r w:rsidR="00AA1AD5">
              <w:rPr>
                <w:noProof/>
                <w:webHidden/>
              </w:rPr>
              <w:instrText xml:space="preserve"> PAGEREF _Toc498334031 \h </w:instrText>
            </w:r>
            <w:r w:rsidR="00AA1AD5">
              <w:rPr>
                <w:noProof/>
                <w:webHidden/>
              </w:rPr>
            </w:r>
            <w:r w:rsidR="00AA1AD5">
              <w:rPr>
                <w:noProof/>
                <w:webHidden/>
              </w:rPr>
              <w:fldChar w:fldCharType="separate"/>
            </w:r>
            <w:r w:rsidR="00AA1AD5">
              <w:rPr>
                <w:noProof/>
                <w:webHidden/>
              </w:rPr>
              <w:t>4</w:t>
            </w:r>
            <w:r w:rsidR="00AA1AD5">
              <w:rPr>
                <w:noProof/>
                <w:webHidden/>
              </w:rPr>
              <w:fldChar w:fldCharType="end"/>
            </w:r>
          </w:hyperlink>
        </w:p>
        <w:p w:rsidR="00AA1AD5" w:rsidRDefault="00D102EB">
          <w:pPr>
            <w:pStyle w:val="Sadraj1"/>
            <w:rPr>
              <w:rFonts w:asciiTheme="minorHAnsi" w:eastAsiaTheme="minorEastAsia" w:hAnsiTheme="minorHAnsi" w:cstheme="minorBidi"/>
              <w:noProof/>
              <w:sz w:val="22"/>
              <w:szCs w:val="22"/>
              <w:lang w:eastAsia="hr-HR"/>
            </w:rPr>
          </w:pPr>
          <w:hyperlink w:anchor="_Toc498334032" w:history="1">
            <w:r w:rsidR="00AA1AD5" w:rsidRPr="005D732E">
              <w:rPr>
                <w:rStyle w:val="Hiperveza"/>
                <w:noProof/>
              </w:rPr>
              <w:t>3</w:t>
            </w:r>
            <w:r w:rsidR="00AA1AD5">
              <w:rPr>
                <w:rFonts w:asciiTheme="minorHAnsi" w:eastAsiaTheme="minorEastAsia" w:hAnsiTheme="minorHAnsi" w:cstheme="minorBidi"/>
                <w:noProof/>
                <w:sz w:val="22"/>
                <w:szCs w:val="22"/>
                <w:lang w:eastAsia="hr-HR"/>
              </w:rPr>
              <w:tab/>
            </w:r>
            <w:r w:rsidR="00AA1AD5" w:rsidRPr="005D732E">
              <w:rPr>
                <w:rStyle w:val="Hiperveza"/>
                <w:noProof/>
              </w:rPr>
              <w:t>SVRHA I CILJEVI</w:t>
            </w:r>
            <w:r w:rsidR="00AA1AD5">
              <w:rPr>
                <w:noProof/>
                <w:webHidden/>
              </w:rPr>
              <w:tab/>
            </w:r>
            <w:r w:rsidR="00AA1AD5">
              <w:rPr>
                <w:noProof/>
                <w:webHidden/>
              </w:rPr>
              <w:fldChar w:fldCharType="begin"/>
            </w:r>
            <w:r w:rsidR="00AA1AD5">
              <w:rPr>
                <w:noProof/>
                <w:webHidden/>
              </w:rPr>
              <w:instrText xml:space="preserve"> PAGEREF _Toc498334032 \h </w:instrText>
            </w:r>
            <w:r w:rsidR="00AA1AD5">
              <w:rPr>
                <w:noProof/>
                <w:webHidden/>
              </w:rPr>
            </w:r>
            <w:r w:rsidR="00AA1AD5">
              <w:rPr>
                <w:noProof/>
                <w:webHidden/>
              </w:rPr>
              <w:fldChar w:fldCharType="separate"/>
            </w:r>
            <w:r w:rsidR="00AA1AD5">
              <w:rPr>
                <w:noProof/>
                <w:webHidden/>
              </w:rPr>
              <w:t>7</w:t>
            </w:r>
            <w:r w:rsidR="00AA1AD5">
              <w:rPr>
                <w:noProof/>
                <w:webHidden/>
              </w:rPr>
              <w:fldChar w:fldCharType="end"/>
            </w:r>
          </w:hyperlink>
        </w:p>
        <w:p w:rsidR="00AA1AD5" w:rsidRDefault="00D102EB">
          <w:pPr>
            <w:pStyle w:val="Sadraj1"/>
            <w:rPr>
              <w:rFonts w:asciiTheme="minorHAnsi" w:eastAsiaTheme="minorEastAsia" w:hAnsiTheme="minorHAnsi" w:cstheme="minorBidi"/>
              <w:noProof/>
              <w:sz w:val="22"/>
              <w:szCs w:val="22"/>
              <w:lang w:eastAsia="hr-HR"/>
            </w:rPr>
          </w:pPr>
          <w:hyperlink w:anchor="_Toc498334033" w:history="1">
            <w:r w:rsidR="00AA1AD5" w:rsidRPr="005D732E">
              <w:rPr>
                <w:rStyle w:val="Hiperveza"/>
                <w:noProof/>
              </w:rPr>
              <w:t>4</w:t>
            </w:r>
            <w:r w:rsidR="00AA1AD5">
              <w:rPr>
                <w:rFonts w:asciiTheme="minorHAnsi" w:eastAsiaTheme="minorEastAsia" w:hAnsiTheme="minorHAnsi" w:cstheme="minorBidi"/>
                <w:noProof/>
                <w:sz w:val="22"/>
                <w:szCs w:val="22"/>
                <w:lang w:eastAsia="hr-HR"/>
              </w:rPr>
              <w:tab/>
            </w:r>
            <w:r w:rsidR="00AA1AD5" w:rsidRPr="005D732E">
              <w:rPr>
                <w:rStyle w:val="Hiperveza"/>
                <w:noProof/>
              </w:rPr>
              <w:t>PRIORITETNA PODRUČJA RADA</w:t>
            </w:r>
            <w:r w:rsidR="00AA1AD5">
              <w:rPr>
                <w:noProof/>
                <w:webHidden/>
              </w:rPr>
              <w:tab/>
            </w:r>
            <w:r w:rsidR="00AA1AD5">
              <w:rPr>
                <w:noProof/>
                <w:webHidden/>
              </w:rPr>
              <w:fldChar w:fldCharType="begin"/>
            </w:r>
            <w:r w:rsidR="00AA1AD5">
              <w:rPr>
                <w:noProof/>
                <w:webHidden/>
              </w:rPr>
              <w:instrText xml:space="preserve"> PAGEREF _Toc498334033 \h </w:instrText>
            </w:r>
            <w:r w:rsidR="00AA1AD5">
              <w:rPr>
                <w:noProof/>
                <w:webHidden/>
              </w:rPr>
            </w:r>
            <w:r w:rsidR="00AA1AD5">
              <w:rPr>
                <w:noProof/>
                <w:webHidden/>
              </w:rPr>
              <w:fldChar w:fldCharType="separate"/>
            </w:r>
            <w:r w:rsidR="00AA1AD5">
              <w:rPr>
                <w:noProof/>
                <w:webHidden/>
              </w:rPr>
              <w:t>8</w:t>
            </w:r>
            <w:r w:rsidR="00AA1AD5">
              <w:rPr>
                <w:noProof/>
                <w:webHidden/>
              </w:rPr>
              <w:fldChar w:fldCharType="end"/>
            </w:r>
          </w:hyperlink>
        </w:p>
        <w:p w:rsidR="00AA1AD5" w:rsidRDefault="00D102EB">
          <w:pPr>
            <w:pStyle w:val="Sadraj1"/>
            <w:rPr>
              <w:rFonts w:asciiTheme="minorHAnsi" w:eastAsiaTheme="minorEastAsia" w:hAnsiTheme="minorHAnsi" w:cstheme="minorBidi"/>
              <w:noProof/>
              <w:sz w:val="22"/>
              <w:szCs w:val="22"/>
              <w:lang w:eastAsia="hr-HR"/>
            </w:rPr>
          </w:pPr>
          <w:hyperlink w:anchor="_Toc498334034" w:history="1">
            <w:r w:rsidR="00AA1AD5" w:rsidRPr="005D732E">
              <w:rPr>
                <w:rStyle w:val="Hiperveza"/>
                <w:noProof/>
              </w:rPr>
              <w:t>5</w:t>
            </w:r>
            <w:r w:rsidR="00AA1AD5">
              <w:rPr>
                <w:rFonts w:asciiTheme="minorHAnsi" w:eastAsiaTheme="minorEastAsia" w:hAnsiTheme="minorHAnsi" w:cstheme="minorBidi"/>
                <w:noProof/>
                <w:sz w:val="22"/>
                <w:szCs w:val="22"/>
                <w:lang w:eastAsia="hr-HR"/>
              </w:rPr>
              <w:tab/>
            </w:r>
            <w:r w:rsidR="00AA1AD5" w:rsidRPr="005D732E">
              <w:rPr>
                <w:rStyle w:val="Hiperveza"/>
                <w:noProof/>
              </w:rPr>
              <w:t>PLAN I PODRUČJE DJELOVANJA</w:t>
            </w:r>
            <w:r w:rsidR="00AA1AD5">
              <w:rPr>
                <w:noProof/>
                <w:webHidden/>
              </w:rPr>
              <w:tab/>
            </w:r>
            <w:r w:rsidR="00AA1AD5">
              <w:rPr>
                <w:noProof/>
                <w:webHidden/>
              </w:rPr>
              <w:fldChar w:fldCharType="begin"/>
            </w:r>
            <w:r w:rsidR="00AA1AD5">
              <w:rPr>
                <w:noProof/>
                <w:webHidden/>
              </w:rPr>
              <w:instrText xml:space="preserve"> PAGEREF _Toc498334034 \h </w:instrText>
            </w:r>
            <w:r w:rsidR="00AA1AD5">
              <w:rPr>
                <w:noProof/>
                <w:webHidden/>
              </w:rPr>
            </w:r>
            <w:r w:rsidR="00AA1AD5">
              <w:rPr>
                <w:noProof/>
                <w:webHidden/>
              </w:rPr>
              <w:fldChar w:fldCharType="separate"/>
            </w:r>
            <w:r w:rsidR="00AA1AD5">
              <w:rPr>
                <w:noProof/>
                <w:webHidden/>
              </w:rPr>
              <w:t>10</w:t>
            </w:r>
            <w:r w:rsidR="00AA1AD5">
              <w:rPr>
                <w:noProof/>
                <w:webHidden/>
              </w:rPr>
              <w:fldChar w:fldCharType="end"/>
            </w:r>
          </w:hyperlink>
        </w:p>
        <w:p w:rsidR="00AA1AD5" w:rsidRDefault="00D102EB">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498334035" w:history="1">
            <w:r w:rsidR="00AA1AD5" w:rsidRPr="005D732E">
              <w:rPr>
                <w:rStyle w:val="Hiperveza"/>
                <w:noProof/>
              </w:rPr>
              <w:t xml:space="preserve">5.1. </w:t>
            </w:r>
            <w:r w:rsidR="00AA1AD5">
              <w:rPr>
                <w:rFonts w:asciiTheme="minorHAnsi" w:eastAsiaTheme="minorEastAsia" w:hAnsiTheme="minorHAnsi" w:cstheme="minorBidi"/>
                <w:noProof/>
                <w:sz w:val="22"/>
                <w:szCs w:val="22"/>
                <w:lang w:eastAsia="hr-HR"/>
              </w:rPr>
              <w:t xml:space="preserve"> </w:t>
            </w:r>
            <w:r w:rsidR="00AA1AD5" w:rsidRPr="005D732E">
              <w:rPr>
                <w:rStyle w:val="Hiperveza"/>
                <w:noProof/>
              </w:rPr>
              <w:t>Praćenje otpornosti bakterija na antibiotike</w:t>
            </w:r>
            <w:r w:rsidR="00AA1AD5">
              <w:rPr>
                <w:noProof/>
                <w:webHidden/>
              </w:rPr>
              <w:tab/>
            </w:r>
            <w:r w:rsidR="00AA1AD5">
              <w:rPr>
                <w:noProof/>
                <w:webHidden/>
              </w:rPr>
              <w:fldChar w:fldCharType="begin"/>
            </w:r>
            <w:r w:rsidR="00AA1AD5">
              <w:rPr>
                <w:noProof/>
                <w:webHidden/>
              </w:rPr>
              <w:instrText xml:space="preserve"> PAGEREF _Toc498334035 \h </w:instrText>
            </w:r>
            <w:r w:rsidR="00AA1AD5">
              <w:rPr>
                <w:noProof/>
                <w:webHidden/>
              </w:rPr>
            </w:r>
            <w:r w:rsidR="00AA1AD5">
              <w:rPr>
                <w:noProof/>
                <w:webHidden/>
              </w:rPr>
              <w:fldChar w:fldCharType="separate"/>
            </w:r>
            <w:r w:rsidR="00AA1AD5">
              <w:rPr>
                <w:noProof/>
                <w:webHidden/>
              </w:rPr>
              <w:t>11</w:t>
            </w:r>
            <w:r w:rsidR="00AA1AD5">
              <w:rPr>
                <w:noProof/>
                <w:webHidden/>
              </w:rPr>
              <w:fldChar w:fldCharType="end"/>
            </w:r>
          </w:hyperlink>
        </w:p>
        <w:p w:rsidR="00AA1AD5" w:rsidRDefault="00D102EB">
          <w:pPr>
            <w:pStyle w:val="Sadraj3"/>
            <w:tabs>
              <w:tab w:val="right" w:leader="dot" w:pos="9060"/>
            </w:tabs>
            <w:rPr>
              <w:rFonts w:asciiTheme="minorHAnsi" w:eastAsiaTheme="minorEastAsia" w:hAnsiTheme="minorHAnsi" w:cstheme="minorBidi"/>
              <w:noProof/>
              <w:sz w:val="22"/>
              <w:szCs w:val="22"/>
              <w:lang w:eastAsia="hr-HR"/>
            </w:rPr>
          </w:pPr>
          <w:hyperlink w:anchor="_Toc498334036" w:history="1">
            <w:r w:rsidR="00AA1AD5" w:rsidRPr="005D732E">
              <w:rPr>
                <w:rStyle w:val="Hiperveza"/>
                <w:noProof/>
              </w:rPr>
              <w:t>5.1.1. Praćenje otpornosti bakterija na antibiotike u području humane medicine</w:t>
            </w:r>
            <w:r w:rsidR="00AA1AD5">
              <w:rPr>
                <w:noProof/>
                <w:webHidden/>
              </w:rPr>
              <w:tab/>
            </w:r>
            <w:r w:rsidR="00AA1AD5">
              <w:rPr>
                <w:noProof/>
                <w:webHidden/>
              </w:rPr>
              <w:fldChar w:fldCharType="begin"/>
            </w:r>
            <w:r w:rsidR="00AA1AD5">
              <w:rPr>
                <w:noProof/>
                <w:webHidden/>
              </w:rPr>
              <w:instrText xml:space="preserve"> PAGEREF _Toc498334036 \h </w:instrText>
            </w:r>
            <w:r w:rsidR="00AA1AD5">
              <w:rPr>
                <w:noProof/>
                <w:webHidden/>
              </w:rPr>
            </w:r>
            <w:r w:rsidR="00AA1AD5">
              <w:rPr>
                <w:noProof/>
                <w:webHidden/>
              </w:rPr>
              <w:fldChar w:fldCharType="separate"/>
            </w:r>
            <w:r w:rsidR="00AA1AD5">
              <w:rPr>
                <w:noProof/>
                <w:webHidden/>
              </w:rPr>
              <w:t>11</w:t>
            </w:r>
            <w:r w:rsidR="00AA1AD5">
              <w:rPr>
                <w:noProof/>
                <w:webHidden/>
              </w:rPr>
              <w:fldChar w:fldCharType="end"/>
            </w:r>
          </w:hyperlink>
        </w:p>
        <w:p w:rsidR="00AA1AD5" w:rsidRDefault="00D102EB">
          <w:pPr>
            <w:pStyle w:val="Sadraj3"/>
            <w:tabs>
              <w:tab w:val="right" w:leader="dot" w:pos="9060"/>
            </w:tabs>
            <w:rPr>
              <w:rFonts w:asciiTheme="minorHAnsi" w:eastAsiaTheme="minorEastAsia" w:hAnsiTheme="minorHAnsi" w:cstheme="minorBidi"/>
              <w:noProof/>
              <w:sz w:val="22"/>
              <w:szCs w:val="22"/>
              <w:lang w:eastAsia="hr-HR"/>
            </w:rPr>
          </w:pPr>
          <w:hyperlink w:anchor="_Toc498334037" w:history="1">
            <w:r w:rsidR="00AA1AD5" w:rsidRPr="005D732E">
              <w:rPr>
                <w:rStyle w:val="Hiperveza"/>
                <w:noProof/>
              </w:rPr>
              <w:t>5.1.2. Praćenje otpornosti bakterija na antibiotike u području  veterinarske medicine</w:t>
            </w:r>
            <w:r w:rsidR="00AA1AD5">
              <w:rPr>
                <w:noProof/>
                <w:webHidden/>
              </w:rPr>
              <w:tab/>
            </w:r>
            <w:r w:rsidR="00AA1AD5">
              <w:rPr>
                <w:noProof/>
                <w:webHidden/>
              </w:rPr>
              <w:fldChar w:fldCharType="begin"/>
            </w:r>
            <w:r w:rsidR="00AA1AD5">
              <w:rPr>
                <w:noProof/>
                <w:webHidden/>
              </w:rPr>
              <w:instrText xml:space="preserve"> PAGEREF _Toc498334037 \h </w:instrText>
            </w:r>
            <w:r w:rsidR="00AA1AD5">
              <w:rPr>
                <w:noProof/>
                <w:webHidden/>
              </w:rPr>
            </w:r>
            <w:r w:rsidR="00AA1AD5">
              <w:rPr>
                <w:noProof/>
                <w:webHidden/>
              </w:rPr>
              <w:fldChar w:fldCharType="separate"/>
            </w:r>
            <w:r w:rsidR="00AA1AD5">
              <w:rPr>
                <w:noProof/>
                <w:webHidden/>
              </w:rPr>
              <w:t>11</w:t>
            </w:r>
            <w:r w:rsidR="00AA1AD5">
              <w:rPr>
                <w:noProof/>
                <w:webHidden/>
              </w:rPr>
              <w:fldChar w:fldCharType="end"/>
            </w:r>
          </w:hyperlink>
        </w:p>
        <w:p w:rsidR="00AA1AD5" w:rsidRDefault="00D102EB">
          <w:pPr>
            <w:pStyle w:val="Sadraj3"/>
            <w:tabs>
              <w:tab w:val="right" w:leader="dot" w:pos="9060"/>
            </w:tabs>
            <w:rPr>
              <w:rFonts w:asciiTheme="minorHAnsi" w:eastAsiaTheme="minorEastAsia" w:hAnsiTheme="minorHAnsi" w:cstheme="minorBidi"/>
              <w:noProof/>
              <w:sz w:val="22"/>
              <w:szCs w:val="22"/>
              <w:lang w:eastAsia="hr-HR"/>
            </w:rPr>
          </w:pPr>
          <w:hyperlink w:anchor="_Toc498334038" w:history="1">
            <w:r w:rsidR="00AA1AD5" w:rsidRPr="005D732E">
              <w:rPr>
                <w:rStyle w:val="Hiperveza"/>
                <w:noProof/>
              </w:rPr>
              <w:t>5.1.3. Praćenje otpornosti bakterija na antibiotike u hrani životinjskog podrijetla</w:t>
            </w:r>
            <w:r w:rsidR="00AA1AD5">
              <w:rPr>
                <w:noProof/>
                <w:webHidden/>
              </w:rPr>
              <w:tab/>
            </w:r>
            <w:r w:rsidR="00AA1AD5">
              <w:rPr>
                <w:noProof/>
                <w:webHidden/>
              </w:rPr>
              <w:fldChar w:fldCharType="begin"/>
            </w:r>
            <w:r w:rsidR="00AA1AD5">
              <w:rPr>
                <w:noProof/>
                <w:webHidden/>
              </w:rPr>
              <w:instrText xml:space="preserve"> PAGEREF _Toc498334038 \h </w:instrText>
            </w:r>
            <w:r w:rsidR="00AA1AD5">
              <w:rPr>
                <w:noProof/>
                <w:webHidden/>
              </w:rPr>
            </w:r>
            <w:r w:rsidR="00AA1AD5">
              <w:rPr>
                <w:noProof/>
                <w:webHidden/>
              </w:rPr>
              <w:fldChar w:fldCharType="separate"/>
            </w:r>
            <w:r w:rsidR="00AA1AD5">
              <w:rPr>
                <w:noProof/>
                <w:webHidden/>
              </w:rPr>
              <w:t>12</w:t>
            </w:r>
            <w:r w:rsidR="00AA1AD5">
              <w:rPr>
                <w:noProof/>
                <w:webHidden/>
              </w:rPr>
              <w:fldChar w:fldCharType="end"/>
            </w:r>
          </w:hyperlink>
        </w:p>
        <w:p w:rsidR="00AA1AD5" w:rsidRDefault="00D102EB">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498334039" w:history="1">
            <w:r w:rsidR="00AA1AD5" w:rsidRPr="005D732E">
              <w:rPr>
                <w:rStyle w:val="Hiperveza"/>
                <w:noProof/>
              </w:rPr>
              <w:t>5.2.</w:t>
            </w:r>
            <w:r w:rsidR="00AA1AD5">
              <w:rPr>
                <w:rFonts w:asciiTheme="minorHAnsi" w:eastAsiaTheme="minorEastAsia" w:hAnsiTheme="minorHAnsi" w:cstheme="minorBidi"/>
                <w:noProof/>
                <w:sz w:val="22"/>
                <w:szCs w:val="22"/>
                <w:lang w:eastAsia="hr-HR"/>
              </w:rPr>
              <w:t xml:space="preserve"> </w:t>
            </w:r>
            <w:r w:rsidR="00AA1AD5" w:rsidRPr="005D732E">
              <w:rPr>
                <w:rStyle w:val="Hiperveza"/>
                <w:noProof/>
              </w:rPr>
              <w:t>Praćenje potrošnje antimikrobnih lijekova</w:t>
            </w:r>
            <w:r w:rsidR="00AA1AD5">
              <w:rPr>
                <w:noProof/>
                <w:webHidden/>
              </w:rPr>
              <w:tab/>
            </w:r>
            <w:r w:rsidR="00AA1AD5">
              <w:rPr>
                <w:noProof/>
                <w:webHidden/>
              </w:rPr>
              <w:fldChar w:fldCharType="begin"/>
            </w:r>
            <w:r w:rsidR="00AA1AD5">
              <w:rPr>
                <w:noProof/>
                <w:webHidden/>
              </w:rPr>
              <w:instrText xml:space="preserve"> PAGEREF _Toc498334039 \h </w:instrText>
            </w:r>
            <w:r w:rsidR="00AA1AD5">
              <w:rPr>
                <w:noProof/>
                <w:webHidden/>
              </w:rPr>
            </w:r>
            <w:r w:rsidR="00AA1AD5">
              <w:rPr>
                <w:noProof/>
                <w:webHidden/>
              </w:rPr>
              <w:fldChar w:fldCharType="separate"/>
            </w:r>
            <w:r w:rsidR="00AA1AD5">
              <w:rPr>
                <w:noProof/>
                <w:webHidden/>
              </w:rPr>
              <w:t>12</w:t>
            </w:r>
            <w:r w:rsidR="00AA1AD5">
              <w:rPr>
                <w:noProof/>
                <w:webHidden/>
              </w:rPr>
              <w:fldChar w:fldCharType="end"/>
            </w:r>
          </w:hyperlink>
        </w:p>
        <w:p w:rsidR="00AA1AD5" w:rsidRDefault="00D102EB">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498334040" w:history="1">
            <w:r w:rsidR="00AA1AD5" w:rsidRPr="005D732E">
              <w:rPr>
                <w:rStyle w:val="Hiperveza"/>
                <w:noProof/>
              </w:rPr>
              <w:t>5.3.</w:t>
            </w:r>
            <w:r w:rsidR="00AA1AD5">
              <w:rPr>
                <w:rFonts w:asciiTheme="minorHAnsi" w:eastAsiaTheme="minorEastAsia" w:hAnsiTheme="minorHAnsi" w:cstheme="minorBidi"/>
                <w:noProof/>
                <w:sz w:val="22"/>
                <w:szCs w:val="22"/>
                <w:lang w:eastAsia="hr-HR"/>
              </w:rPr>
              <w:t xml:space="preserve"> </w:t>
            </w:r>
            <w:r w:rsidR="00AA1AD5" w:rsidRPr="005D732E">
              <w:rPr>
                <w:rStyle w:val="Hiperveza"/>
                <w:noProof/>
              </w:rPr>
              <w:t>Promicanje odgovorne uporabe antimikrobnih lijekova</w:t>
            </w:r>
            <w:r w:rsidR="00AA1AD5">
              <w:rPr>
                <w:noProof/>
                <w:webHidden/>
              </w:rPr>
              <w:tab/>
            </w:r>
            <w:r w:rsidR="00AA1AD5">
              <w:rPr>
                <w:noProof/>
                <w:webHidden/>
              </w:rPr>
              <w:fldChar w:fldCharType="begin"/>
            </w:r>
            <w:r w:rsidR="00AA1AD5">
              <w:rPr>
                <w:noProof/>
                <w:webHidden/>
              </w:rPr>
              <w:instrText xml:space="preserve"> PAGEREF _Toc498334040 \h </w:instrText>
            </w:r>
            <w:r w:rsidR="00AA1AD5">
              <w:rPr>
                <w:noProof/>
                <w:webHidden/>
              </w:rPr>
            </w:r>
            <w:r w:rsidR="00AA1AD5">
              <w:rPr>
                <w:noProof/>
                <w:webHidden/>
              </w:rPr>
              <w:fldChar w:fldCharType="separate"/>
            </w:r>
            <w:r w:rsidR="00AA1AD5">
              <w:rPr>
                <w:noProof/>
                <w:webHidden/>
              </w:rPr>
              <w:t>13</w:t>
            </w:r>
            <w:r w:rsidR="00AA1AD5">
              <w:rPr>
                <w:noProof/>
                <w:webHidden/>
              </w:rPr>
              <w:fldChar w:fldCharType="end"/>
            </w:r>
          </w:hyperlink>
        </w:p>
        <w:p w:rsidR="00AA1AD5" w:rsidRDefault="00D102EB">
          <w:pPr>
            <w:pStyle w:val="Sadraj3"/>
            <w:tabs>
              <w:tab w:val="right" w:leader="dot" w:pos="9060"/>
            </w:tabs>
            <w:rPr>
              <w:rFonts w:asciiTheme="minorHAnsi" w:eastAsiaTheme="minorEastAsia" w:hAnsiTheme="minorHAnsi" w:cstheme="minorBidi"/>
              <w:noProof/>
              <w:sz w:val="22"/>
              <w:szCs w:val="22"/>
              <w:lang w:eastAsia="hr-HR"/>
            </w:rPr>
          </w:pPr>
          <w:hyperlink w:anchor="_Toc498334041" w:history="1">
            <w:r w:rsidR="00AA1AD5" w:rsidRPr="005D732E">
              <w:rPr>
                <w:rStyle w:val="Hiperveza"/>
                <w:noProof/>
              </w:rPr>
              <w:t>5.3.1. Edukacija o racionalnoj uporabi antibiotika tijekom studija</w:t>
            </w:r>
            <w:r w:rsidR="00AA1AD5">
              <w:rPr>
                <w:noProof/>
                <w:webHidden/>
              </w:rPr>
              <w:tab/>
            </w:r>
            <w:r w:rsidR="00AA1AD5">
              <w:rPr>
                <w:noProof/>
                <w:webHidden/>
              </w:rPr>
              <w:fldChar w:fldCharType="begin"/>
            </w:r>
            <w:r w:rsidR="00AA1AD5">
              <w:rPr>
                <w:noProof/>
                <w:webHidden/>
              </w:rPr>
              <w:instrText xml:space="preserve"> PAGEREF _Toc498334041 \h </w:instrText>
            </w:r>
            <w:r w:rsidR="00AA1AD5">
              <w:rPr>
                <w:noProof/>
                <w:webHidden/>
              </w:rPr>
            </w:r>
            <w:r w:rsidR="00AA1AD5">
              <w:rPr>
                <w:noProof/>
                <w:webHidden/>
              </w:rPr>
              <w:fldChar w:fldCharType="separate"/>
            </w:r>
            <w:r w:rsidR="00AA1AD5">
              <w:rPr>
                <w:noProof/>
                <w:webHidden/>
              </w:rPr>
              <w:t>13</w:t>
            </w:r>
            <w:r w:rsidR="00AA1AD5">
              <w:rPr>
                <w:noProof/>
                <w:webHidden/>
              </w:rPr>
              <w:fldChar w:fldCharType="end"/>
            </w:r>
          </w:hyperlink>
        </w:p>
        <w:p w:rsidR="00AA1AD5" w:rsidRDefault="00D102EB">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498334042" w:history="1">
            <w:r w:rsidR="00AA1AD5" w:rsidRPr="005D732E">
              <w:rPr>
                <w:rStyle w:val="Hiperveza"/>
                <w:noProof/>
              </w:rPr>
              <w:t>5.3.2. Donošenje smjernica za racionalnu primjenu antimikrobnih lijekova</w:t>
            </w:r>
            <w:r w:rsidR="00AA1AD5">
              <w:rPr>
                <w:noProof/>
                <w:webHidden/>
              </w:rPr>
              <w:tab/>
            </w:r>
            <w:r w:rsidR="00AA1AD5">
              <w:rPr>
                <w:noProof/>
                <w:webHidden/>
              </w:rPr>
              <w:fldChar w:fldCharType="begin"/>
            </w:r>
            <w:r w:rsidR="00AA1AD5">
              <w:rPr>
                <w:noProof/>
                <w:webHidden/>
              </w:rPr>
              <w:instrText xml:space="preserve"> PAGEREF _Toc498334042 \h </w:instrText>
            </w:r>
            <w:r w:rsidR="00AA1AD5">
              <w:rPr>
                <w:noProof/>
                <w:webHidden/>
              </w:rPr>
            </w:r>
            <w:r w:rsidR="00AA1AD5">
              <w:rPr>
                <w:noProof/>
                <w:webHidden/>
              </w:rPr>
              <w:fldChar w:fldCharType="separate"/>
            </w:r>
            <w:r w:rsidR="00AA1AD5">
              <w:rPr>
                <w:noProof/>
                <w:webHidden/>
              </w:rPr>
              <w:t>13</w:t>
            </w:r>
            <w:r w:rsidR="00AA1AD5">
              <w:rPr>
                <w:noProof/>
                <w:webHidden/>
              </w:rPr>
              <w:fldChar w:fldCharType="end"/>
            </w:r>
          </w:hyperlink>
        </w:p>
        <w:p w:rsidR="00AA1AD5" w:rsidRDefault="00D102EB">
          <w:pPr>
            <w:pStyle w:val="Sadraj3"/>
            <w:tabs>
              <w:tab w:val="right" w:leader="dot" w:pos="9060"/>
            </w:tabs>
            <w:rPr>
              <w:rFonts w:asciiTheme="minorHAnsi" w:eastAsiaTheme="minorEastAsia" w:hAnsiTheme="minorHAnsi" w:cstheme="minorBidi"/>
              <w:noProof/>
              <w:sz w:val="22"/>
              <w:szCs w:val="22"/>
              <w:lang w:eastAsia="hr-HR"/>
            </w:rPr>
          </w:pPr>
          <w:hyperlink w:anchor="_Toc498334043" w:history="1">
            <w:r w:rsidR="00AA1AD5" w:rsidRPr="005D732E">
              <w:rPr>
                <w:rStyle w:val="Hiperveza"/>
                <w:noProof/>
              </w:rPr>
              <w:t>5.3.3. Unaprjeđivanje brze mikrobiološke dijagnostike</w:t>
            </w:r>
            <w:r w:rsidR="00AA1AD5">
              <w:rPr>
                <w:noProof/>
                <w:webHidden/>
              </w:rPr>
              <w:tab/>
            </w:r>
            <w:r w:rsidR="00AA1AD5">
              <w:rPr>
                <w:noProof/>
                <w:webHidden/>
              </w:rPr>
              <w:fldChar w:fldCharType="begin"/>
            </w:r>
            <w:r w:rsidR="00AA1AD5">
              <w:rPr>
                <w:noProof/>
                <w:webHidden/>
              </w:rPr>
              <w:instrText xml:space="preserve"> PAGEREF _Toc498334043 \h </w:instrText>
            </w:r>
            <w:r w:rsidR="00AA1AD5">
              <w:rPr>
                <w:noProof/>
                <w:webHidden/>
              </w:rPr>
            </w:r>
            <w:r w:rsidR="00AA1AD5">
              <w:rPr>
                <w:noProof/>
                <w:webHidden/>
              </w:rPr>
              <w:fldChar w:fldCharType="separate"/>
            </w:r>
            <w:r w:rsidR="00AA1AD5">
              <w:rPr>
                <w:noProof/>
                <w:webHidden/>
              </w:rPr>
              <w:t>13</w:t>
            </w:r>
            <w:r w:rsidR="00AA1AD5">
              <w:rPr>
                <w:noProof/>
                <w:webHidden/>
              </w:rPr>
              <w:fldChar w:fldCharType="end"/>
            </w:r>
          </w:hyperlink>
        </w:p>
        <w:p w:rsidR="00AA1AD5" w:rsidRDefault="00D102EB">
          <w:pPr>
            <w:pStyle w:val="Sadraj3"/>
            <w:tabs>
              <w:tab w:val="right" w:leader="dot" w:pos="9060"/>
            </w:tabs>
            <w:rPr>
              <w:rFonts w:asciiTheme="minorHAnsi" w:eastAsiaTheme="minorEastAsia" w:hAnsiTheme="minorHAnsi" w:cstheme="minorBidi"/>
              <w:noProof/>
              <w:sz w:val="22"/>
              <w:szCs w:val="22"/>
              <w:lang w:eastAsia="hr-HR"/>
            </w:rPr>
          </w:pPr>
          <w:hyperlink w:anchor="_Toc498334044" w:history="1">
            <w:r w:rsidR="00AA1AD5" w:rsidRPr="005D732E">
              <w:rPr>
                <w:rStyle w:val="Hiperveza"/>
                <w:noProof/>
                <w:lang w:eastAsia="en-US"/>
              </w:rPr>
              <w:t>5.3.4. Rukovođenje antimikrobnom terapijom</w:t>
            </w:r>
            <w:r w:rsidR="00AA1AD5">
              <w:rPr>
                <w:noProof/>
                <w:webHidden/>
              </w:rPr>
              <w:tab/>
            </w:r>
            <w:r w:rsidR="00AA1AD5">
              <w:rPr>
                <w:noProof/>
                <w:webHidden/>
              </w:rPr>
              <w:fldChar w:fldCharType="begin"/>
            </w:r>
            <w:r w:rsidR="00AA1AD5">
              <w:rPr>
                <w:noProof/>
                <w:webHidden/>
              </w:rPr>
              <w:instrText xml:space="preserve"> PAGEREF _Toc498334044 \h </w:instrText>
            </w:r>
            <w:r w:rsidR="00AA1AD5">
              <w:rPr>
                <w:noProof/>
                <w:webHidden/>
              </w:rPr>
            </w:r>
            <w:r w:rsidR="00AA1AD5">
              <w:rPr>
                <w:noProof/>
                <w:webHidden/>
              </w:rPr>
              <w:fldChar w:fldCharType="separate"/>
            </w:r>
            <w:r w:rsidR="00AA1AD5">
              <w:rPr>
                <w:noProof/>
                <w:webHidden/>
              </w:rPr>
              <w:t>13</w:t>
            </w:r>
            <w:r w:rsidR="00AA1AD5">
              <w:rPr>
                <w:noProof/>
                <w:webHidden/>
              </w:rPr>
              <w:fldChar w:fldCharType="end"/>
            </w:r>
          </w:hyperlink>
        </w:p>
        <w:p w:rsidR="00AA1AD5" w:rsidRDefault="00D102EB">
          <w:pPr>
            <w:pStyle w:val="Sadraj3"/>
            <w:tabs>
              <w:tab w:val="right" w:leader="dot" w:pos="9060"/>
            </w:tabs>
            <w:rPr>
              <w:rFonts w:asciiTheme="minorHAnsi" w:eastAsiaTheme="minorEastAsia" w:hAnsiTheme="minorHAnsi" w:cstheme="minorBidi"/>
              <w:noProof/>
              <w:sz w:val="22"/>
              <w:szCs w:val="22"/>
              <w:lang w:eastAsia="hr-HR"/>
            </w:rPr>
          </w:pPr>
          <w:hyperlink w:anchor="_Toc498334045" w:history="1">
            <w:r w:rsidR="00AA1AD5" w:rsidRPr="005D732E">
              <w:rPr>
                <w:rStyle w:val="Hiperveza"/>
                <w:noProof/>
              </w:rPr>
              <w:t>5.3.5. Kontrola prodaje antimikrobnih lijekova</w:t>
            </w:r>
            <w:r w:rsidR="00AA1AD5">
              <w:rPr>
                <w:noProof/>
                <w:webHidden/>
              </w:rPr>
              <w:tab/>
            </w:r>
            <w:r w:rsidR="00AA1AD5">
              <w:rPr>
                <w:noProof/>
                <w:webHidden/>
              </w:rPr>
              <w:fldChar w:fldCharType="begin"/>
            </w:r>
            <w:r w:rsidR="00AA1AD5">
              <w:rPr>
                <w:noProof/>
                <w:webHidden/>
              </w:rPr>
              <w:instrText xml:space="preserve"> PAGEREF _Toc498334045 \h </w:instrText>
            </w:r>
            <w:r w:rsidR="00AA1AD5">
              <w:rPr>
                <w:noProof/>
                <w:webHidden/>
              </w:rPr>
            </w:r>
            <w:r w:rsidR="00AA1AD5">
              <w:rPr>
                <w:noProof/>
                <w:webHidden/>
              </w:rPr>
              <w:fldChar w:fldCharType="separate"/>
            </w:r>
            <w:r w:rsidR="00AA1AD5">
              <w:rPr>
                <w:noProof/>
                <w:webHidden/>
              </w:rPr>
              <w:t>14</w:t>
            </w:r>
            <w:r w:rsidR="00AA1AD5">
              <w:rPr>
                <w:noProof/>
                <w:webHidden/>
              </w:rPr>
              <w:fldChar w:fldCharType="end"/>
            </w:r>
          </w:hyperlink>
        </w:p>
        <w:p w:rsidR="00AA1AD5" w:rsidRDefault="00D102EB">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498334046" w:history="1">
            <w:r w:rsidR="00AA1AD5" w:rsidRPr="005D732E">
              <w:rPr>
                <w:rStyle w:val="Hiperveza"/>
                <w:noProof/>
              </w:rPr>
              <w:t>5.4.</w:t>
            </w:r>
            <w:r w:rsidR="00AA1AD5">
              <w:rPr>
                <w:rStyle w:val="Hiperveza"/>
                <w:noProof/>
              </w:rPr>
              <w:t xml:space="preserve"> </w:t>
            </w:r>
            <w:r w:rsidR="00AA1AD5" w:rsidRPr="005D732E">
              <w:rPr>
                <w:rStyle w:val="Hiperveza"/>
                <w:noProof/>
              </w:rPr>
              <w:t>Sprječavanje i kontrola širenja infekcija</w:t>
            </w:r>
            <w:r w:rsidR="00AA1AD5">
              <w:rPr>
                <w:noProof/>
                <w:webHidden/>
              </w:rPr>
              <w:tab/>
            </w:r>
            <w:r w:rsidR="00AA1AD5">
              <w:rPr>
                <w:noProof/>
                <w:webHidden/>
              </w:rPr>
              <w:fldChar w:fldCharType="begin"/>
            </w:r>
            <w:r w:rsidR="00AA1AD5">
              <w:rPr>
                <w:noProof/>
                <w:webHidden/>
              </w:rPr>
              <w:instrText xml:space="preserve"> PAGEREF _Toc498334046 \h </w:instrText>
            </w:r>
            <w:r w:rsidR="00AA1AD5">
              <w:rPr>
                <w:noProof/>
                <w:webHidden/>
              </w:rPr>
            </w:r>
            <w:r w:rsidR="00AA1AD5">
              <w:rPr>
                <w:noProof/>
                <w:webHidden/>
              </w:rPr>
              <w:fldChar w:fldCharType="separate"/>
            </w:r>
            <w:r w:rsidR="00AA1AD5">
              <w:rPr>
                <w:noProof/>
                <w:webHidden/>
              </w:rPr>
              <w:t>14</w:t>
            </w:r>
            <w:r w:rsidR="00AA1AD5">
              <w:rPr>
                <w:noProof/>
                <w:webHidden/>
              </w:rPr>
              <w:fldChar w:fldCharType="end"/>
            </w:r>
          </w:hyperlink>
        </w:p>
        <w:p w:rsidR="00AA1AD5" w:rsidRDefault="00D102EB">
          <w:pPr>
            <w:pStyle w:val="Sadraj2"/>
            <w:tabs>
              <w:tab w:val="right" w:leader="dot" w:pos="9060"/>
            </w:tabs>
            <w:rPr>
              <w:rFonts w:asciiTheme="minorHAnsi" w:eastAsiaTheme="minorEastAsia" w:hAnsiTheme="minorHAnsi" w:cstheme="minorBidi"/>
              <w:noProof/>
              <w:sz w:val="22"/>
              <w:szCs w:val="22"/>
              <w:lang w:eastAsia="hr-HR"/>
            </w:rPr>
          </w:pPr>
          <w:hyperlink w:anchor="_Toc498334047" w:history="1">
            <w:r w:rsidR="00AA1AD5" w:rsidRPr="005D732E">
              <w:rPr>
                <w:rStyle w:val="Hiperveza"/>
                <w:noProof/>
              </w:rPr>
              <w:t>5.5. Podizanje svjesnosti o štetnosti prekomjerne uporabe antimikrobnih lijekova</w:t>
            </w:r>
            <w:r w:rsidR="00AA1AD5">
              <w:rPr>
                <w:noProof/>
                <w:webHidden/>
              </w:rPr>
              <w:tab/>
            </w:r>
            <w:r w:rsidR="00AA1AD5">
              <w:rPr>
                <w:noProof/>
                <w:webHidden/>
              </w:rPr>
              <w:fldChar w:fldCharType="begin"/>
            </w:r>
            <w:r w:rsidR="00AA1AD5">
              <w:rPr>
                <w:noProof/>
                <w:webHidden/>
              </w:rPr>
              <w:instrText xml:space="preserve"> PAGEREF _Toc498334047 \h </w:instrText>
            </w:r>
            <w:r w:rsidR="00AA1AD5">
              <w:rPr>
                <w:noProof/>
                <w:webHidden/>
              </w:rPr>
            </w:r>
            <w:r w:rsidR="00AA1AD5">
              <w:rPr>
                <w:noProof/>
                <w:webHidden/>
              </w:rPr>
              <w:fldChar w:fldCharType="separate"/>
            </w:r>
            <w:r w:rsidR="00AA1AD5">
              <w:rPr>
                <w:noProof/>
                <w:webHidden/>
              </w:rPr>
              <w:t>14</w:t>
            </w:r>
            <w:r w:rsidR="00AA1AD5">
              <w:rPr>
                <w:noProof/>
                <w:webHidden/>
              </w:rPr>
              <w:fldChar w:fldCharType="end"/>
            </w:r>
          </w:hyperlink>
        </w:p>
        <w:p w:rsidR="00AA1AD5" w:rsidRDefault="00D102EB">
          <w:pPr>
            <w:pStyle w:val="Sadraj2"/>
            <w:tabs>
              <w:tab w:val="right" w:leader="dot" w:pos="9060"/>
            </w:tabs>
            <w:rPr>
              <w:rFonts w:asciiTheme="minorHAnsi" w:eastAsiaTheme="minorEastAsia" w:hAnsiTheme="minorHAnsi" w:cstheme="minorBidi"/>
              <w:noProof/>
              <w:sz w:val="22"/>
              <w:szCs w:val="22"/>
              <w:lang w:eastAsia="hr-HR"/>
            </w:rPr>
          </w:pPr>
          <w:hyperlink w:anchor="_Toc498334048" w:history="1">
            <w:r w:rsidR="00AA1AD5" w:rsidRPr="005D732E">
              <w:rPr>
                <w:rStyle w:val="Hiperveza"/>
                <w:noProof/>
              </w:rPr>
              <w:t>5.6. Podupiranje znanstvenih istraživanja na području rezistencije bakterija na antibiotike</w:t>
            </w:r>
            <w:r w:rsidR="00AA1AD5">
              <w:rPr>
                <w:noProof/>
                <w:webHidden/>
              </w:rPr>
              <w:tab/>
            </w:r>
            <w:r w:rsidR="00AA1AD5">
              <w:rPr>
                <w:noProof/>
                <w:webHidden/>
              </w:rPr>
              <w:fldChar w:fldCharType="begin"/>
            </w:r>
            <w:r w:rsidR="00AA1AD5">
              <w:rPr>
                <w:noProof/>
                <w:webHidden/>
              </w:rPr>
              <w:instrText xml:space="preserve"> PAGEREF _Toc498334048 \h </w:instrText>
            </w:r>
            <w:r w:rsidR="00AA1AD5">
              <w:rPr>
                <w:noProof/>
                <w:webHidden/>
              </w:rPr>
            </w:r>
            <w:r w:rsidR="00AA1AD5">
              <w:rPr>
                <w:noProof/>
                <w:webHidden/>
              </w:rPr>
              <w:fldChar w:fldCharType="separate"/>
            </w:r>
            <w:r w:rsidR="00AA1AD5">
              <w:rPr>
                <w:noProof/>
                <w:webHidden/>
              </w:rPr>
              <w:t>15</w:t>
            </w:r>
            <w:r w:rsidR="00AA1AD5">
              <w:rPr>
                <w:noProof/>
                <w:webHidden/>
              </w:rPr>
              <w:fldChar w:fldCharType="end"/>
            </w:r>
          </w:hyperlink>
        </w:p>
        <w:p w:rsidR="00AA1AD5" w:rsidRDefault="00D102EB">
          <w:pPr>
            <w:pStyle w:val="Sadraj1"/>
            <w:rPr>
              <w:rFonts w:asciiTheme="minorHAnsi" w:eastAsiaTheme="minorEastAsia" w:hAnsiTheme="minorHAnsi" w:cstheme="minorBidi"/>
              <w:noProof/>
              <w:sz w:val="22"/>
              <w:szCs w:val="22"/>
              <w:lang w:eastAsia="hr-HR"/>
            </w:rPr>
          </w:pPr>
          <w:hyperlink w:anchor="_Toc498334049" w:history="1">
            <w:r w:rsidR="00AA1AD5" w:rsidRPr="005D732E">
              <w:rPr>
                <w:rStyle w:val="Hiperveza"/>
                <w:rFonts w:eastAsia="Calibri"/>
                <w:noProof/>
              </w:rPr>
              <w:t>6       RAZRADA PLANIRANIH AKTIVNOSTI</w:t>
            </w:r>
            <w:r w:rsidR="00AA1AD5">
              <w:rPr>
                <w:noProof/>
                <w:webHidden/>
              </w:rPr>
              <w:tab/>
            </w:r>
            <w:r w:rsidR="00AA1AD5">
              <w:rPr>
                <w:noProof/>
                <w:webHidden/>
              </w:rPr>
              <w:fldChar w:fldCharType="begin"/>
            </w:r>
            <w:r w:rsidR="00AA1AD5">
              <w:rPr>
                <w:noProof/>
                <w:webHidden/>
              </w:rPr>
              <w:instrText xml:space="preserve"> PAGEREF _Toc498334049 \h </w:instrText>
            </w:r>
            <w:r w:rsidR="00AA1AD5">
              <w:rPr>
                <w:noProof/>
                <w:webHidden/>
              </w:rPr>
            </w:r>
            <w:r w:rsidR="00AA1AD5">
              <w:rPr>
                <w:noProof/>
                <w:webHidden/>
              </w:rPr>
              <w:fldChar w:fldCharType="separate"/>
            </w:r>
            <w:r w:rsidR="00AA1AD5">
              <w:rPr>
                <w:noProof/>
                <w:webHidden/>
              </w:rPr>
              <w:t>16</w:t>
            </w:r>
            <w:r w:rsidR="00AA1AD5">
              <w:rPr>
                <w:noProof/>
                <w:webHidden/>
              </w:rPr>
              <w:fldChar w:fldCharType="end"/>
            </w:r>
          </w:hyperlink>
        </w:p>
        <w:p w:rsidR="00AA1AD5" w:rsidRDefault="00D102EB">
          <w:pPr>
            <w:pStyle w:val="Sadraj1"/>
            <w:rPr>
              <w:rFonts w:asciiTheme="minorHAnsi" w:eastAsiaTheme="minorEastAsia" w:hAnsiTheme="minorHAnsi" w:cstheme="minorBidi"/>
              <w:noProof/>
              <w:sz w:val="22"/>
              <w:szCs w:val="22"/>
              <w:lang w:eastAsia="hr-HR"/>
            </w:rPr>
          </w:pPr>
          <w:hyperlink w:anchor="_Toc498334050" w:history="1">
            <w:r w:rsidR="00AA1AD5" w:rsidRPr="005D732E">
              <w:rPr>
                <w:rStyle w:val="Hiperveza"/>
                <w:noProof/>
              </w:rPr>
              <w:t xml:space="preserve">7 </w:t>
            </w:r>
            <w:r w:rsidR="00AA1AD5">
              <w:rPr>
                <w:rFonts w:asciiTheme="minorHAnsi" w:eastAsiaTheme="minorEastAsia" w:hAnsiTheme="minorHAnsi" w:cstheme="minorBidi"/>
                <w:noProof/>
                <w:sz w:val="22"/>
                <w:szCs w:val="22"/>
                <w:lang w:eastAsia="hr-HR"/>
              </w:rPr>
              <w:tab/>
            </w:r>
            <w:r w:rsidR="00AA1AD5" w:rsidRPr="005D732E">
              <w:rPr>
                <w:rStyle w:val="Hiperveza"/>
                <w:noProof/>
              </w:rPr>
              <w:t>FINANCIJSKA SREDSTVA POTREBNA ZA  PROVEDBU NACIONALNOG PROGRAMA</w:t>
            </w:r>
            <w:r w:rsidR="00AA1AD5">
              <w:rPr>
                <w:noProof/>
                <w:webHidden/>
              </w:rPr>
              <w:tab/>
            </w:r>
            <w:r w:rsidR="00AA1AD5">
              <w:rPr>
                <w:noProof/>
                <w:webHidden/>
              </w:rPr>
              <w:fldChar w:fldCharType="begin"/>
            </w:r>
            <w:r w:rsidR="00AA1AD5">
              <w:rPr>
                <w:noProof/>
                <w:webHidden/>
              </w:rPr>
              <w:instrText xml:space="preserve"> PAGEREF _Toc498334050 \h </w:instrText>
            </w:r>
            <w:r w:rsidR="00AA1AD5">
              <w:rPr>
                <w:noProof/>
                <w:webHidden/>
              </w:rPr>
            </w:r>
            <w:r w:rsidR="00AA1AD5">
              <w:rPr>
                <w:noProof/>
                <w:webHidden/>
              </w:rPr>
              <w:fldChar w:fldCharType="separate"/>
            </w:r>
            <w:r w:rsidR="00AA1AD5">
              <w:rPr>
                <w:noProof/>
                <w:webHidden/>
              </w:rPr>
              <w:t>21</w:t>
            </w:r>
            <w:r w:rsidR="00AA1AD5">
              <w:rPr>
                <w:noProof/>
                <w:webHidden/>
              </w:rPr>
              <w:fldChar w:fldCharType="end"/>
            </w:r>
          </w:hyperlink>
        </w:p>
        <w:p w:rsidR="00AA1AD5" w:rsidRDefault="00D102EB">
          <w:pPr>
            <w:pStyle w:val="Sadraj1"/>
            <w:rPr>
              <w:rFonts w:asciiTheme="minorHAnsi" w:eastAsiaTheme="minorEastAsia" w:hAnsiTheme="minorHAnsi" w:cstheme="minorBidi"/>
              <w:noProof/>
              <w:sz w:val="22"/>
              <w:szCs w:val="22"/>
              <w:lang w:eastAsia="hr-HR"/>
            </w:rPr>
          </w:pPr>
          <w:hyperlink w:anchor="_Toc498334051" w:history="1">
            <w:r w:rsidR="00AA1AD5" w:rsidRPr="005D732E">
              <w:rPr>
                <w:rStyle w:val="Hiperveza"/>
                <w:noProof/>
              </w:rPr>
              <w:t xml:space="preserve">8 </w:t>
            </w:r>
            <w:r w:rsidR="00AA1AD5">
              <w:rPr>
                <w:rFonts w:asciiTheme="minorHAnsi" w:eastAsiaTheme="minorEastAsia" w:hAnsiTheme="minorHAnsi" w:cstheme="minorBidi"/>
                <w:noProof/>
                <w:sz w:val="22"/>
                <w:szCs w:val="22"/>
                <w:lang w:eastAsia="hr-HR"/>
              </w:rPr>
              <w:tab/>
            </w:r>
            <w:r w:rsidR="00AA1AD5" w:rsidRPr="005D732E">
              <w:rPr>
                <w:rStyle w:val="Hiperveza"/>
                <w:noProof/>
              </w:rPr>
              <w:t>TIJELA DRŽAVNE UPRAVE  I INSTITUCIJE UKLJUČENE U PROVEDBU PROGRAMA</w:t>
            </w:r>
            <w:r w:rsidR="00AA1AD5">
              <w:rPr>
                <w:noProof/>
                <w:webHidden/>
              </w:rPr>
              <w:tab/>
            </w:r>
            <w:r w:rsidR="00AA1AD5">
              <w:rPr>
                <w:noProof/>
                <w:webHidden/>
              </w:rPr>
              <w:fldChar w:fldCharType="begin"/>
            </w:r>
            <w:r w:rsidR="00AA1AD5">
              <w:rPr>
                <w:noProof/>
                <w:webHidden/>
              </w:rPr>
              <w:instrText xml:space="preserve"> PAGEREF _Toc498334051 \h </w:instrText>
            </w:r>
            <w:r w:rsidR="00AA1AD5">
              <w:rPr>
                <w:noProof/>
                <w:webHidden/>
              </w:rPr>
            </w:r>
            <w:r w:rsidR="00AA1AD5">
              <w:rPr>
                <w:noProof/>
                <w:webHidden/>
              </w:rPr>
              <w:fldChar w:fldCharType="separate"/>
            </w:r>
            <w:r w:rsidR="00AA1AD5">
              <w:rPr>
                <w:noProof/>
                <w:webHidden/>
              </w:rPr>
              <w:t>22</w:t>
            </w:r>
            <w:r w:rsidR="00AA1AD5">
              <w:rPr>
                <w:noProof/>
                <w:webHidden/>
              </w:rPr>
              <w:fldChar w:fldCharType="end"/>
            </w:r>
          </w:hyperlink>
        </w:p>
        <w:p w:rsidR="00BB4D23" w:rsidRPr="00AE4757" w:rsidRDefault="00850E77">
          <w:r>
            <w:rPr>
              <w:b/>
              <w:bCs/>
            </w:rPr>
            <w:fldChar w:fldCharType="end"/>
          </w:r>
        </w:p>
      </w:sdtContent>
    </w:sdt>
    <w:p w:rsidR="007D4508" w:rsidRDefault="007D4508" w:rsidP="007D4508">
      <w:pPr>
        <w:jc w:val="both"/>
        <w:rPr>
          <w:b/>
          <w:sz w:val="40"/>
          <w:szCs w:val="40"/>
        </w:rPr>
      </w:pPr>
      <w:r w:rsidRPr="006030C6">
        <w:br w:type="page"/>
      </w:r>
    </w:p>
    <w:p w:rsidR="007D4508" w:rsidRPr="00952A25" w:rsidRDefault="007D4508" w:rsidP="0031515B">
      <w:pPr>
        <w:pStyle w:val="Naslov1"/>
      </w:pPr>
      <w:bookmarkStart w:id="8" w:name="_Toc498334030"/>
      <w:r w:rsidRPr="00952A25">
        <w:lastRenderedPageBreak/>
        <w:t>1   UVOD</w:t>
      </w:r>
      <w:bookmarkEnd w:id="8"/>
    </w:p>
    <w:p w:rsidR="007D4508" w:rsidRDefault="007D4508" w:rsidP="008C100C"/>
    <w:p w:rsidR="007D4508" w:rsidRPr="00E57941" w:rsidRDefault="007D4508">
      <w:pPr>
        <w:jc w:val="both"/>
      </w:pPr>
      <w:r w:rsidRPr="00E57941">
        <w:t xml:space="preserve">Otpornost bakterija na antibiotike predstavlja jedan od vodećih problema medicine 21. stoljeća. Zadnjih desetljeća pronalazak novih antibiotika je znatno usporen, a zbog velike uporabe antibiotika bakterije razvijaju mehanizme otpornosti koji im omogućuju olakšano širenje prvenstveno u bolničkoj sredini, ali sve češće i u izvanbolničkoj zajednici. Smanjena učinkovitost antibiotika ugrožava ishod liječenja zaraznih bolesti te bi neke već uspješno liječene bolesti mogle ponovno postati veliki terapijski problem. Osim toga, mnogi invazivni dijagnostički i terapijski postupci moderne medicine nose povećan rizik od razvijanja infekcije koji je prihvatljiv pod pretpostavkom da se infekcija pravilnom antimikrobnom profilaksom može spriječiti ili primjenom učinkovitih antibiotika uspješno liječiti. Gubitak učinkovitih antibiotika pogađa tako mnoge grane medicine, prvenstveno kirurške struke i intenzivno liječenje. </w:t>
      </w:r>
    </w:p>
    <w:p w:rsidR="007D4508" w:rsidRPr="00E57941" w:rsidRDefault="007D4508">
      <w:pPr>
        <w:jc w:val="both"/>
      </w:pPr>
    </w:p>
    <w:p w:rsidR="007D4508" w:rsidRPr="00CF79F5" w:rsidRDefault="007D4508">
      <w:pPr>
        <w:jc w:val="both"/>
      </w:pPr>
      <w:r w:rsidRPr="00E57941">
        <w:t xml:space="preserve">Iako je problem otpornosti bakterija na antibiotike više izražen u nekim zemljama bakterije ne poznaju državne granice. Zbog velike i svakodnevne izmjene ljudi i roba otporne bakterije se lako izmjenjuju među ljudima različitih zemljopisnih regija što problem otpornosti </w:t>
      </w:r>
      <w:r w:rsidR="00F55B55">
        <w:t xml:space="preserve">bakterija na antibiotike </w:t>
      </w:r>
      <w:r w:rsidRPr="00E57941">
        <w:t xml:space="preserve">čini globalnim i zajedničkim svim znanstvenim, stručnim i državnim institucijama. Prema preporukama Svjetske zdravstvene organizacije (World Health Organization, WHO) i Europskog centra za prevenciju i kontrolu bolesti (European Center for Diseases prevention and Control, ECDC) u problem kontroliranja širenja otpornosti na antibiotike moraju se uključiti ne samo stručna i znanstvena tijela već i vlade pojedinih država. U skladu s preporukama Vijeća Europske unije u </w:t>
      </w:r>
      <w:r>
        <w:t xml:space="preserve">Republici </w:t>
      </w:r>
      <w:r w:rsidRPr="00E57941">
        <w:t>Hrvatskoj je 2006.</w:t>
      </w:r>
      <w:r>
        <w:t xml:space="preserve"> godine</w:t>
      </w:r>
      <w:r w:rsidRPr="00E57941">
        <w:t xml:space="preserve"> osnovana </w:t>
      </w:r>
      <w:r w:rsidRPr="00E57941">
        <w:rPr>
          <w:i/>
          <w:lang w:val="en-GB"/>
        </w:rPr>
        <w:t>Interdisciplinarna</w:t>
      </w:r>
      <w:r w:rsidRPr="00E57941">
        <w:rPr>
          <w:i/>
        </w:rPr>
        <w:t xml:space="preserve"> </w:t>
      </w:r>
      <w:r w:rsidRPr="00E57941">
        <w:rPr>
          <w:i/>
          <w:lang w:val="en-GB"/>
        </w:rPr>
        <w:t>sekcija</w:t>
      </w:r>
      <w:r w:rsidRPr="00E57941">
        <w:rPr>
          <w:i/>
        </w:rPr>
        <w:t xml:space="preserve"> </w:t>
      </w:r>
      <w:r w:rsidRPr="00E57941">
        <w:rPr>
          <w:i/>
          <w:lang w:val="en-GB"/>
        </w:rPr>
        <w:t>za</w:t>
      </w:r>
      <w:r w:rsidRPr="00E57941">
        <w:rPr>
          <w:i/>
        </w:rPr>
        <w:t xml:space="preserve"> </w:t>
      </w:r>
      <w:r w:rsidRPr="00E57941">
        <w:rPr>
          <w:i/>
          <w:lang w:val="en-GB"/>
        </w:rPr>
        <w:t>kontrolu</w:t>
      </w:r>
      <w:r w:rsidRPr="00E57941">
        <w:rPr>
          <w:i/>
        </w:rPr>
        <w:t xml:space="preserve"> </w:t>
      </w:r>
      <w:r w:rsidRPr="00E57941">
        <w:rPr>
          <w:i/>
          <w:lang w:val="en-GB"/>
        </w:rPr>
        <w:t>rezistencije</w:t>
      </w:r>
      <w:r w:rsidRPr="00E57941">
        <w:rPr>
          <w:i/>
        </w:rPr>
        <w:t xml:space="preserve"> </w:t>
      </w:r>
      <w:r w:rsidRPr="00E57941">
        <w:rPr>
          <w:i/>
          <w:lang w:val="en-GB"/>
        </w:rPr>
        <w:t>na</w:t>
      </w:r>
      <w:r w:rsidRPr="00E57941">
        <w:rPr>
          <w:i/>
        </w:rPr>
        <w:t xml:space="preserve"> </w:t>
      </w:r>
      <w:r w:rsidRPr="00E57941">
        <w:rPr>
          <w:i/>
          <w:lang w:val="en-GB"/>
        </w:rPr>
        <w:t>antibiotike</w:t>
      </w:r>
      <w:r w:rsidRPr="00E57941">
        <w:rPr>
          <w:i/>
        </w:rPr>
        <w:t xml:space="preserve"> (</w:t>
      </w:r>
      <w:r w:rsidRPr="000E01FC">
        <w:t xml:space="preserve">u daljnjem tekstu: </w:t>
      </w:r>
      <w:r w:rsidRPr="000E01FC">
        <w:rPr>
          <w:lang w:val="en-GB"/>
        </w:rPr>
        <w:t>ISKRA</w:t>
      </w:r>
      <w:r w:rsidRPr="00E57941">
        <w:t xml:space="preserve">) </w:t>
      </w:r>
      <w:r w:rsidRPr="00DC152C">
        <w:t>koja koordinira sve nacionalne aktivnosti usmjerene na ograničavanje širenja otpornosti na antibiotike te osigurava međunarodnu suradnju s raznim institucijama posvećenim ovoj problematici</w:t>
      </w:r>
      <w:r w:rsidRPr="00CF79F5">
        <w:t xml:space="preserve">. </w:t>
      </w:r>
    </w:p>
    <w:p w:rsidR="007D4508" w:rsidRPr="00CF79F5" w:rsidRDefault="007D4508" w:rsidP="008C100C">
      <w:pPr>
        <w:jc w:val="both"/>
      </w:pPr>
    </w:p>
    <w:p w:rsidR="007D4508" w:rsidRPr="00E57941" w:rsidRDefault="007D4508" w:rsidP="008C100C">
      <w:pPr>
        <w:jc w:val="both"/>
      </w:pPr>
      <w:r w:rsidRPr="00E57941">
        <w:t>Dosadašnje aktivnosti ISKRA-e su planirane u skladu s Nacionalnim programom za kontrolu otpor</w:t>
      </w:r>
      <w:r>
        <w:t>nosti bakterija na antibiotike 2009.-</w:t>
      </w:r>
      <w:r w:rsidRPr="00E57941">
        <w:t>2014., a ovaj dokument je nastavak započetih aktivnosti koje su predviđene kao kontinuirani programi praćenja otpornosti na antibiotike, praćenja potrošnje antibiotika, propagiranja racionalne uporabe antibiotika u sklopu edukacije svih stručnih profila (</w:t>
      </w:r>
      <w:r w:rsidR="00F55B55">
        <w:t xml:space="preserve">doktora </w:t>
      </w:r>
      <w:r w:rsidRPr="00E57941">
        <w:t xml:space="preserve">medicine i veterine, </w:t>
      </w:r>
      <w:r w:rsidR="00F55B55">
        <w:t>ljekarnika i dr.</w:t>
      </w:r>
      <w:r w:rsidRPr="00E57941">
        <w:t xml:space="preserve">), ali i građana, potencijalnih korisnika antibiotika. </w:t>
      </w:r>
      <w:r w:rsidRPr="00E57941">
        <w:rPr>
          <w:rFonts w:eastAsia="Times New Roman"/>
          <w:lang w:eastAsia="hr-HR"/>
        </w:rPr>
        <w:t xml:space="preserve">Problem bakterijske rezistencije i borba protiv otpornosti bakterija na antibiotike zahtjeva dugoročni multidisciplinarni i multisektorski pristup te pažnju svih stručnjaka koji se bave primjenom antibiotika sukladno </w:t>
      </w:r>
      <w:r w:rsidRPr="00E57941">
        <w:t xml:space="preserve">Nacionalnoj strategiji razvoja zdravstva 2012.-2020.  </w:t>
      </w:r>
      <w:r w:rsidR="00A878F8">
        <w:t xml:space="preserve">(„Narodne novine“, broj 116/2012). </w:t>
      </w:r>
    </w:p>
    <w:p w:rsidR="007D4508" w:rsidRPr="00E57941" w:rsidRDefault="007D4508">
      <w:pPr>
        <w:jc w:val="both"/>
        <w:outlineLvl w:val="0"/>
      </w:pPr>
    </w:p>
    <w:p w:rsidR="00E63ECD" w:rsidRDefault="007D4508" w:rsidP="00E63ECD">
      <w:pPr>
        <w:pStyle w:val="Tekstkomentara"/>
        <w:jc w:val="both"/>
        <w:rPr>
          <w:sz w:val="24"/>
          <w:szCs w:val="24"/>
        </w:rPr>
      </w:pPr>
      <w:r w:rsidRPr="00E57941">
        <w:rPr>
          <w:sz w:val="24"/>
          <w:szCs w:val="24"/>
        </w:rPr>
        <w:t xml:space="preserve">Planirane aktivnosti u skladu su s rezolucijom Svjetske zdravstvene organizacije </w:t>
      </w:r>
      <w:r w:rsidRPr="00E57941">
        <w:rPr>
          <w:i/>
          <w:sz w:val="24"/>
          <w:szCs w:val="24"/>
        </w:rPr>
        <w:t>(WHO Global Strategy for Containment of Antimicrobial Resistance,</w:t>
      </w:r>
      <w:r w:rsidRPr="00E57941">
        <w:rPr>
          <w:sz w:val="24"/>
          <w:szCs w:val="24"/>
        </w:rPr>
        <w:t xml:space="preserve"> 2001), rezolucijom Vijeća Europske unije (</w:t>
      </w:r>
      <w:r w:rsidRPr="00E57941">
        <w:rPr>
          <w:i/>
          <w:sz w:val="24"/>
          <w:szCs w:val="24"/>
        </w:rPr>
        <w:t>Council Resolution</w:t>
      </w:r>
      <w:r w:rsidRPr="00E57941">
        <w:rPr>
          <w:sz w:val="24"/>
          <w:szCs w:val="24"/>
        </w:rPr>
        <w:t xml:space="preserve">, 8 June 1999) te globalnim akcijskim planom Svjetske zdravstvene organizacije (Draft global action plan on antimicrobial resistance A68/20 od 27. ožujka 2015.) i planom Europskog centra za prevenciju i kontrolu bolesti </w:t>
      </w:r>
      <w:r w:rsidRPr="000E01FC">
        <w:rPr>
          <w:sz w:val="24"/>
          <w:szCs w:val="24"/>
        </w:rPr>
        <w:t>2014 – 2020</w:t>
      </w:r>
      <w:r w:rsidR="00E63ECD" w:rsidRPr="000E01FC">
        <w:rPr>
          <w:sz w:val="24"/>
          <w:szCs w:val="24"/>
        </w:rPr>
        <w:t>,</w:t>
      </w:r>
      <w:r w:rsidR="00E63ECD">
        <w:rPr>
          <w:sz w:val="24"/>
          <w:szCs w:val="24"/>
        </w:rPr>
        <w:t xml:space="preserve"> a sukladan je i ciljevima iz Programa održivog razvoja do </w:t>
      </w:r>
      <w:r w:rsidR="00464307">
        <w:rPr>
          <w:sz w:val="24"/>
          <w:szCs w:val="24"/>
        </w:rPr>
        <w:t>2030. godine Ujedinjenih naroda</w:t>
      </w:r>
      <w:r w:rsidR="00E63ECD">
        <w:rPr>
          <w:sz w:val="24"/>
          <w:szCs w:val="24"/>
        </w:rPr>
        <w:t>.</w:t>
      </w:r>
      <w:r w:rsidR="00E63ECD" w:rsidRPr="00700878">
        <w:rPr>
          <w:sz w:val="24"/>
          <w:szCs w:val="24"/>
        </w:rPr>
        <w:t xml:space="preserve"> </w:t>
      </w:r>
      <w:r w:rsidR="00E63ECD" w:rsidRPr="00700878">
        <w:rPr>
          <w:rFonts w:eastAsia="Times New Roman"/>
          <w:sz w:val="24"/>
          <w:szCs w:val="24"/>
          <w:lang w:eastAsia="hr-HR"/>
        </w:rPr>
        <w:t xml:space="preserve"> </w:t>
      </w:r>
      <w:r w:rsidR="00E63ECD" w:rsidRPr="00700878">
        <w:rPr>
          <w:sz w:val="24"/>
          <w:szCs w:val="24"/>
        </w:rPr>
        <w:t xml:space="preserve"> </w:t>
      </w:r>
    </w:p>
    <w:p w:rsidR="007D4508" w:rsidRPr="00E57941" w:rsidRDefault="007D4508" w:rsidP="007D4508">
      <w:pPr>
        <w:jc w:val="both"/>
      </w:pPr>
    </w:p>
    <w:p w:rsidR="007D4508" w:rsidRPr="00E57941" w:rsidRDefault="007D4508" w:rsidP="007D4508">
      <w:pPr>
        <w:jc w:val="both"/>
      </w:pPr>
      <w:r>
        <w:t xml:space="preserve">Ovaj dokument izradili su </w:t>
      </w:r>
      <w:r w:rsidRPr="00E57941">
        <w:t>stručnjaci, članovi ISKRA-e, a njegova provedba ovisi o</w:t>
      </w:r>
      <w:r>
        <w:t xml:space="preserve"> aktivnoj suradnji</w:t>
      </w:r>
      <w:r w:rsidRPr="00E57941">
        <w:t xml:space="preserve"> brojnih s</w:t>
      </w:r>
      <w:r>
        <w:t>t</w:t>
      </w:r>
      <w:r w:rsidRPr="00E57941">
        <w:t xml:space="preserve">ručnih društava i institucija te svih pojedinaca koji sudjeluju u propisivanju i izdavanju antibiotika.  </w:t>
      </w:r>
    </w:p>
    <w:p w:rsidR="007D4508" w:rsidRPr="00E57941" w:rsidRDefault="007D4508" w:rsidP="007D4508">
      <w:pPr>
        <w:jc w:val="both"/>
      </w:pPr>
    </w:p>
    <w:p w:rsidR="007D4508" w:rsidRPr="00952A25" w:rsidRDefault="007D4508" w:rsidP="00422895">
      <w:pPr>
        <w:pStyle w:val="Naslov1"/>
      </w:pPr>
      <w:r w:rsidRPr="00952A25">
        <w:lastRenderedPageBreak/>
        <w:t xml:space="preserve"> </w:t>
      </w:r>
      <w:bookmarkStart w:id="9" w:name="_Toc498334031"/>
      <w:r w:rsidRPr="00952A25">
        <w:t>2</w:t>
      </w:r>
      <w:r w:rsidRPr="00952A25">
        <w:tab/>
        <w:t>ANALIZA SITUACIJE</w:t>
      </w:r>
      <w:bookmarkEnd w:id="9"/>
    </w:p>
    <w:p w:rsidR="007D4508" w:rsidRDefault="007D4508" w:rsidP="007D4508">
      <w:pPr>
        <w:jc w:val="both"/>
      </w:pPr>
    </w:p>
    <w:p w:rsidR="007D4508" w:rsidRDefault="007D4508" w:rsidP="007D4508">
      <w:pPr>
        <w:jc w:val="both"/>
      </w:pPr>
    </w:p>
    <w:p w:rsidR="007D4508" w:rsidRDefault="007D4508" w:rsidP="007D4508">
      <w:pPr>
        <w:jc w:val="both"/>
      </w:pPr>
      <w:r>
        <w:t>U današnje doba teško je zamisliti medicinsku i veterinarsku praksu bez uporabe antibiotika koji spr</w:t>
      </w:r>
      <w:r w:rsidR="00326C32">
        <w:t>j</w:t>
      </w:r>
      <w:r>
        <w:t>ečavaju i liječe bakterijske infekcije u ljudi i životinja. Iako smo od samog početka antibiotske ere bili svjesni da će se prema zakonima evolucije bakterije prilagođavati okolišu i razvijati mehanizme otpornosti na antibiotike, vjerovali smo da će čovjek uvijek biti korak ispred bakterija pronalazeći nove antibiotike. Zadnja dva desetljeća bakterije zbog masovne uporabe antibiotika sve brže razvijaju nove mehanizme otpornosti dok je pronalazak novih, klinički primjenjivih, antimikrobnih supstanci znatno usporen. Medicina i veterina se stoga moraju fokusirati na očuvanje učinkovitosti postojećih antibiotika, osiguravajući vrijeme za istraživanje novih mogućnosti spr</w:t>
      </w:r>
      <w:r w:rsidR="00326C32">
        <w:t>j</w:t>
      </w:r>
      <w:r>
        <w:t>ečavanja i liječenja bakterijskih infekcija.</w:t>
      </w:r>
    </w:p>
    <w:p w:rsidR="007D4508" w:rsidRDefault="007D4508" w:rsidP="007D4508">
      <w:pPr>
        <w:jc w:val="both"/>
      </w:pPr>
    </w:p>
    <w:p w:rsidR="007D4508" w:rsidRDefault="007D4508" w:rsidP="007D4508">
      <w:pPr>
        <w:jc w:val="both"/>
      </w:pPr>
      <w:r>
        <w:t xml:space="preserve">Republika Hrvatska se ubraja u zemlje s potrošnjom antibiotika iznad europskog prosjeka (slika 1) što ukazuje da se znatni napori moraju uložiti u edukaciju svih profesionalnih djelatnika koji antibiotike propisuju i izdaju, ali i svih građana koji antibiotike konzumiraju. </w:t>
      </w:r>
    </w:p>
    <w:p w:rsidR="007D4508" w:rsidRDefault="007D4508" w:rsidP="007D4508">
      <w:pPr>
        <w:jc w:val="both"/>
      </w:pPr>
    </w:p>
    <w:p w:rsidR="007D4508" w:rsidRPr="00372348" w:rsidRDefault="007D4508" w:rsidP="007D4508">
      <w:pPr>
        <w:jc w:val="both"/>
        <w:rPr>
          <w:i/>
        </w:rPr>
      </w:pPr>
      <w:r w:rsidRPr="00372348">
        <w:rPr>
          <w:b/>
          <w:i/>
        </w:rPr>
        <w:t>Slika 1.</w:t>
      </w:r>
      <w:r w:rsidRPr="00372348">
        <w:rPr>
          <w:i/>
        </w:rPr>
        <w:t xml:space="preserve"> Izvanbolnička potrošnja antibiotika u EU/EEA zemljama, ESAC-Net 2012</w:t>
      </w:r>
    </w:p>
    <w:p w:rsidR="007D4508" w:rsidRDefault="007D4508" w:rsidP="007D4508">
      <w:pPr>
        <w:jc w:val="both"/>
      </w:pPr>
    </w:p>
    <w:p w:rsidR="007D4508" w:rsidRDefault="007D4508" w:rsidP="007D4508">
      <w:pPr>
        <w:jc w:val="center"/>
      </w:pPr>
      <w:r>
        <w:rPr>
          <w:noProof/>
          <w:lang w:eastAsia="hr-HR"/>
        </w:rPr>
        <w:drawing>
          <wp:inline distT="0" distB="0" distL="0" distR="0" wp14:anchorId="69840952" wp14:editId="38C238E7">
            <wp:extent cx="4876604" cy="39624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1424" cy="3966317"/>
                    </a:xfrm>
                    <a:prstGeom prst="rect">
                      <a:avLst/>
                    </a:prstGeom>
                    <a:noFill/>
                    <a:ln>
                      <a:noFill/>
                    </a:ln>
                  </pic:spPr>
                </pic:pic>
              </a:graphicData>
            </a:graphic>
          </wp:inline>
        </w:drawing>
      </w:r>
    </w:p>
    <w:p w:rsidR="007D4508" w:rsidRDefault="007D4508" w:rsidP="007D4508">
      <w:pPr>
        <w:jc w:val="both"/>
      </w:pPr>
    </w:p>
    <w:p w:rsidR="007D4508" w:rsidRDefault="007D4508" w:rsidP="007D4508">
      <w:pPr>
        <w:jc w:val="both"/>
      </w:pPr>
      <w:r>
        <w:t xml:space="preserve">Preko </w:t>
      </w:r>
      <w:r w:rsidR="00210BD0">
        <w:t>devedeset posto</w:t>
      </w:r>
      <w:r>
        <w:t xml:space="preserve"> antibiotika se potroši izvanbolnički na </w:t>
      </w:r>
      <w:r w:rsidR="00C07DE3" w:rsidRPr="00326C32">
        <w:t xml:space="preserve">većinom </w:t>
      </w:r>
      <w:r w:rsidRPr="00326C32">
        <w:t xml:space="preserve">blage, </w:t>
      </w:r>
      <w:r>
        <w:t xml:space="preserve">samoograničavajuće bolesti. Kako se otporne mutante razvijaju u normalnoj mikrobioti čovjeka koji antibiotike </w:t>
      </w:r>
      <w:r w:rsidR="00F55B55">
        <w:t>koristi</w:t>
      </w:r>
      <w:r>
        <w:t xml:space="preserve">, razvoj rezistencije nije vidljiv sve dok neka od bakterija normalne mikrobiote ne dospije u primarno sterilne prostore ljudskog tijela i ne izazove infekciju. Kako je bakterijama ulazak u primarno sterilne prostore ljudskog tijela znatno olakšan tijekom invazivnih dijagnostičkih i </w:t>
      </w:r>
      <w:r w:rsidR="000E01FC">
        <w:t>t</w:t>
      </w:r>
      <w:r>
        <w:t xml:space="preserve">erapijskih postupaka problem infekcija izazvanih mnogostruko otpornim bakterijama najočitiji je u bolničkoj sredini. </w:t>
      </w:r>
    </w:p>
    <w:p w:rsidR="007D4508" w:rsidRDefault="007D4508" w:rsidP="007D4508">
      <w:pPr>
        <w:jc w:val="both"/>
      </w:pPr>
    </w:p>
    <w:p w:rsidR="007D4508" w:rsidRDefault="007D4508" w:rsidP="007D4508">
      <w:pPr>
        <w:jc w:val="both"/>
      </w:pPr>
      <w:r>
        <w:t xml:space="preserve">Najpoznatija mnogostruko otporna bakterija koja je postala endemična u mnogim bolnicama svijeta, pa i Hrvatske je meticilin rezistentni </w:t>
      </w:r>
      <w:r w:rsidRPr="007D6562">
        <w:rPr>
          <w:i/>
        </w:rPr>
        <w:t>Staphylococcus aureus</w:t>
      </w:r>
      <w:r>
        <w:t xml:space="preserve"> (MRSA). Udio MRSA među svim </w:t>
      </w:r>
      <w:r>
        <w:rPr>
          <w:i/>
        </w:rPr>
        <w:t xml:space="preserve">S. </w:t>
      </w:r>
      <w:r w:rsidRPr="007D6562">
        <w:rPr>
          <w:i/>
        </w:rPr>
        <w:t>aureus</w:t>
      </w:r>
      <w:r>
        <w:rPr>
          <w:i/>
        </w:rPr>
        <w:t xml:space="preserve"> </w:t>
      </w:r>
      <w:r>
        <w:t xml:space="preserve">izolatima u laganom je opadanju u Europi pa i Hrvatskoj (slika 2). </w:t>
      </w:r>
    </w:p>
    <w:p w:rsidR="00532925" w:rsidRDefault="00532925" w:rsidP="00532925">
      <w:pPr>
        <w:jc w:val="both"/>
        <w:rPr>
          <w:b/>
          <w:i/>
        </w:rPr>
      </w:pPr>
    </w:p>
    <w:p w:rsidR="00532925" w:rsidRDefault="00532925" w:rsidP="00532925">
      <w:pPr>
        <w:jc w:val="both"/>
        <w:rPr>
          <w:i/>
        </w:rPr>
      </w:pPr>
      <w:r w:rsidRPr="00B96044">
        <w:rPr>
          <w:b/>
          <w:i/>
        </w:rPr>
        <w:t>Slika 2.</w:t>
      </w:r>
      <w:r w:rsidRPr="00B96044">
        <w:rPr>
          <w:i/>
        </w:rPr>
        <w:t xml:space="preserve"> Stope MRSA u Hrvatskoj, Odbor za praćenje rezistencije bakterija na antibiotike, Akademija medicinskih znanosti Hrvatske</w:t>
      </w:r>
    </w:p>
    <w:p w:rsidR="000E01FC" w:rsidRDefault="000E01FC" w:rsidP="00532925">
      <w:pPr>
        <w:jc w:val="both"/>
        <w:rPr>
          <w:i/>
        </w:rPr>
      </w:pPr>
    </w:p>
    <w:p w:rsidR="000E01FC" w:rsidRDefault="000E01FC" w:rsidP="00532925">
      <w:pPr>
        <w:jc w:val="both"/>
        <w:rPr>
          <w:i/>
        </w:rPr>
      </w:pPr>
    </w:p>
    <w:p w:rsidR="00C8280D" w:rsidRDefault="00C8280D" w:rsidP="00532925">
      <w:pPr>
        <w:jc w:val="both"/>
        <w:rPr>
          <w:i/>
        </w:rPr>
      </w:pPr>
      <w:r w:rsidRPr="00C8280D">
        <w:rPr>
          <w:i/>
          <w:noProof/>
          <w:lang w:eastAsia="hr-HR"/>
        </w:rPr>
        <w:drawing>
          <wp:inline distT="0" distB="0" distL="0" distR="0" wp14:anchorId="69840954" wp14:editId="6F489DA2">
            <wp:extent cx="5759450" cy="291846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4508" w:rsidRDefault="007D4508" w:rsidP="007D4508">
      <w:pPr>
        <w:jc w:val="both"/>
      </w:pPr>
      <w:r>
        <w:t xml:space="preserve">Najveći problem u Republici Hrvatskoj predstavlja </w:t>
      </w:r>
      <w:r w:rsidRPr="007D6562">
        <w:rPr>
          <w:i/>
        </w:rPr>
        <w:t>Acinetobacter baumannii</w:t>
      </w:r>
      <w:r>
        <w:t xml:space="preserve"> otporan na karbapeneme (CRAB) koji se naglo proširio nakon 2008. godine i od tada postao endemičan u mnogim bolnicama. Rezistentni acinetobacter je veliki problem mnogih zemalja istočne i južne Europe (slika 3).</w:t>
      </w:r>
    </w:p>
    <w:p w:rsidR="007D4508" w:rsidRDefault="007D4508" w:rsidP="007D4508">
      <w:pPr>
        <w:jc w:val="both"/>
      </w:pPr>
    </w:p>
    <w:p w:rsidR="007D4508" w:rsidRPr="00ED590E" w:rsidRDefault="007D4508" w:rsidP="007D4508">
      <w:pPr>
        <w:jc w:val="both"/>
        <w:rPr>
          <w:i/>
        </w:rPr>
      </w:pPr>
      <w:r w:rsidRPr="00ED590E">
        <w:rPr>
          <w:b/>
          <w:i/>
        </w:rPr>
        <w:t>Slika 3.</w:t>
      </w:r>
      <w:r w:rsidRPr="00ED590E">
        <w:rPr>
          <w:i/>
        </w:rPr>
        <w:t xml:space="preserve"> </w:t>
      </w:r>
      <w:r w:rsidRPr="00ED590E">
        <w:t>Acinetobacter</w:t>
      </w:r>
      <w:r w:rsidRPr="00ED590E">
        <w:rPr>
          <w:i/>
        </w:rPr>
        <w:t xml:space="preserve"> spp. otporan na karbapeneme</w:t>
      </w:r>
      <w:r>
        <w:rPr>
          <w:i/>
        </w:rPr>
        <w:t xml:space="preserve"> u EU/EEA zemljama</w:t>
      </w:r>
      <w:r w:rsidRPr="00ED590E">
        <w:rPr>
          <w:i/>
        </w:rPr>
        <w:t>, EARS-Net 201</w:t>
      </w:r>
      <w:r w:rsidR="00EE443E">
        <w:rPr>
          <w:i/>
        </w:rPr>
        <w:t>5</w:t>
      </w:r>
    </w:p>
    <w:p w:rsidR="007D4508" w:rsidRDefault="00EE443E" w:rsidP="007D4508">
      <w:pPr>
        <w:jc w:val="center"/>
      </w:pPr>
      <w:r>
        <w:rPr>
          <w:noProof/>
          <w:lang w:eastAsia="hr-HR"/>
        </w:rPr>
        <w:drawing>
          <wp:inline distT="0" distB="0" distL="0" distR="0" wp14:anchorId="3DCCD9E8" wp14:editId="1E4D87BE">
            <wp:extent cx="5127572" cy="3284220"/>
            <wp:effectExtent l="0" t="0" r="0" b="0"/>
            <wp:docPr id="4" name="Picture 4" descr="C:\Users\Arjana\AppData\Local\Microsoft\Windows\INetCacheContent.Word\EARS acinetobacter-resistant-carbapenem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jana\AppData\Local\Microsoft\Windows\INetCacheContent.Word\EARS acinetobacter-resistant-carbapenems-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3683" cy="3288134"/>
                    </a:xfrm>
                    <a:prstGeom prst="rect">
                      <a:avLst/>
                    </a:prstGeom>
                    <a:noFill/>
                    <a:ln>
                      <a:noFill/>
                    </a:ln>
                  </pic:spPr>
                </pic:pic>
              </a:graphicData>
            </a:graphic>
          </wp:inline>
        </w:drawing>
      </w:r>
    </w:p>
    <w:p w:rsidR="007D4508" w:rsidRDefault="007D4508" w:rsidP="007D4508">
      <w:pPr>
        <w:jc w:val="both"/>
      </w:pPr>
    </w:p>
    <w:p w:rsidR="000E01FC" w:rsidRDefault="000E01FC" w:rsidP="000E01FC">
      <w:pPr>
        <w:jc w:val="both"/>
      </w:pPr>
      <w:r>
        <w:t xml:space="preserve">Posebnu prijetnju predstavljaju enterobakterije otporne na karbapeneme, naročito </w:t>
      </w:r>
      <w:r w:rsidRPr="00D83A7A">
        <w:rPr>
          <w:i/>
        </w:rPr>
        <w:t>Klebsiella pneumoniae</w:t>
      </w:r>
      <w:r>
        <w:t xml:space="preserve"> koja proizvodi KPC enzim. Prije desetak godina KPC </w:t>
      </w:r>
      <w:r w:rsidRPr="00A36C6B">
        <w:rPr>
          <w:i/>
        </w:rPr>
        <w:t>K.</w:t>
      </w:r>
      <w:r w:rsidR="004D310D">
        <w:rPr>
          <w:i/>
        </w:rPr>
        <w:t xml:space="preserve"> </w:t>
      </w:r>
      <w:r w:rsidRPr="00A36C6B">
        <w:rPr>
          <w:i/>
        </w:rPr>
        <w:t>pneumoniae</w:t>
      </w:r>
      <w:r>
        <w:t xml:space="preserve"> se vrlo brzo proširila u mnogim dijelovima Sjeverne Amerike, a posljednjih godina i u mnogim zemljama Europe. U Republici Hrvatskoj su prvi sojevi KPC </w:t>
      </w:r>
      <w:r w:rsidRPr="00A36C6B">
        <w:rPr>
          <w:i/>
        </w:rPr>
        <w:t>K.</w:t>
      </w:r>
      <w:r w:rsidR="004D310D">
        <w:rPr>
          <w:i/>
        </w:rPr>
        <w:t xml:space="preserve"> </w:t>
      </w:r>
      <w:r w:rsidRPr="00A36C6B">
        <w:rPr>
          <w:i/>
        </w:rPr>
        <w:t>pneumoniae</w:t>
      </w:r>
      <w:r>
        <w:t xml:space="preserve"> uočeni 2011. godine i za sada su prisutni u sjeverozapadnoj Hrvatskoj. Udio ovih sojeva je, međutim, još uvijek ispod 1%, što je dijelom i rezultat zajedničkog djelovanja ISKRA-e i Povjerenstva za sprječavanje i suzbijanje bolničkih infekcija Ministarstva zdrav</w:t>
      </w:r>
      <w:r w:rsidR="004D310D">
        <w:t>stva</w:t>
      </w:r>
      <w:r>
        <w:t xml:space="preserve"> te brojnih zdravstvenih </w:t>
      </w:r>
      <w:r w:rsidR="004503DF">
        <w:t>radnika</w:t>
      </w:r>
      <w:r>
        <w:t xml:space="preserve"> koji su u sklopu prethodnog Nacionalnog programa za kontrolu otpornosti bakterija na antibiotike 2009. - 2014. i Nacionalnog programa za</w:t>
      </w:r>
      <w:r w:rsidRPr="00A36C6B">
        <w:t xml:space="preserve"> </w:t>
      </w:r>
      <w:r>
        <w:t>kontrolu infekcija povezanih sa zdravstvenom zaštitom 2013. - 2017. bili pravodobno obaviješteni i educirani.</w:t>
      </w:r>
    </w:p>
    <w:p w:rsidR="007D4508" w:rsidRDefault="007D4508" w:rsidP="007D4508">
      <w:pPr>
        <w:jc w:val="both"/>
      </w:pPr>
    </w:p>
    <w:p w:rsidR="007D4508" w:rsidRDefault="007D4508" w:rsidP="007D4508">
      <w:pPr>
        <w:jc w:val="both"/>
      </w:pPr>
    </w:p>
    <w:p w:rsidR="007D4508" w:rsidRDefault="007D4508" w:rsidP="007D4508">
      <w:pPr>
        <w:jc w:val="both"/>
      </w:pPr>
      <w:r>
        <w:t>Nacionalni</w:t>
      </w:r>
      <w:r w:rsidR="000E01FC">
        <w:t>m</w:t>
      </w:r>
      <w:r>
        <w:t xml:space="preserve"> program</w:t>
      </w:r>
      <w:r w:rsidR="000E01FC">
        <w:t>om</w:t>
      </w:r>
      <w:r>
        <w:t xml:space="preserve"> za kontrolu otpornosti bakterija na </w:t>
      </w:r>
      <w:r w:rsidRPr="00DC152C">
        <w:t>antibiotike 201</w:t>
      </w:r>
      <w:r w:rsidR="00464307">
        <w:t>7</w:t>
      </w:r>
      <w:r w:rsidRPr="00DC152C">
        <w:t>. - 202</w:t>
      </w:r>
      <w:r w:rsidR="00464307">
        <w:t>1</w:t>
      </w:r>
      <w:r w:rsidRPr="00DC152C">
        <w:t xml:space="preserve">. </w:t>
      </w:r>
      <w:r w:rsidR="000E01FC">
        <w:t xml:space="preserve">utvrđeni su </w:t>
      </w:r>
      <w:r w:rsidRPr="00DC152C">
        <w:t>ciljev</w:t>
      </w:r>
      <w:r w:rsidR="000E01FC">
        <w:t>i</w:t>
      </w:r>
      <w:r w:rsidRPr="00DC152C">
        <w:t>, područje i plan djelovanja koji se u Republici Hrvatskoj trebaju provoditi</w:t>
      </w:r>
      <w:r w:rsidRPr="003E1E8E">
        <w:t xml:space="preserve"> kako bi se zaustavilo širenje otpornosti bakterija na antibiotike</w:t>
      </w:r>
      <w:r>
        <w:t xml:space="preserve"> u humanoj i veterinarskoj medicini</w:t>
      </w:r>
      <w:r w:rsidRPr="003E1E8E">
        <w:t xml:space="preserve">. </w:t>
      </w:r>
      <w:r>
        <w:t xml:space="preserve">Predložene aktivnosti dio su globalnog akcijskog plana Svjetske zdravstvene organizacije. </w:t>
      </w:r>
    </w:p>
    <w:p w:rsidR="007D4508" w:rsidRPr="00952A25" w:rsidRDefault="007D4508" w:rsidP="00422895">
      <w:pPr>
        <w:pStyle w:val="Naslov1"/>
      </w:pPr>
      <w:r>
        <w:rPr>
          <w:sz w:val="40"/>
          <w:szCs w:val="40"/>
        </w:rPr>
        <w:br w:type="page"/>
      </w:r>
      <w:bookmarkStart w:id="10" w:name="_Toc498334032"/>
      <w:r w:rsidRPr="00952A25">
        <w:t>3</w:t>
      </w:r>
      <w:r w:rsidRPr="00952A25">
        <w:tab/>
        <w:t>SVRHA I CILJEVI</w:t>
      </w:r>
      <w:bookmarkEnd w:id="10"/>
    </w:p>
    <w:p w:rsidR="007D4508" w:rsidRPr="00E71CE9" w:rsidRDefault="007D4508" w:rsidP="007D4508">
      <w:pPr>
        <w:jc w:val="both"/>
        <w:rPr>
          <w:sz w:val="40"/>
          <w:szCs w:val="40"/>
        </w:rPr>
      </w:pPr>
    </w:p>
    <w:p w:rsidR="007D4508" w:rsidRPr="00D8766F" w:rsidRDefault="007D4508" w:rsidP="007D4508">
      <w:pPr>
        <w:jc w:val="both"/>
      </w:pPr>
    </w:p>
    <w:p w:rsidR="007D4508" w:rsidRDefault="007D4508" w:rsidP="007D4508">
      <w:pPr>
        <w:jc w:val="both"/>
      </w:pPr>
      <w:r>
        <w:t>Svrha</w:t>
      </w:r>
      <w:r w:rsidRPr="00D8766F">
        <w:t xml:space="preserve"> </w:t>
      </w:r>
      <w:r>
        <w:t>N</w:t>
      </w:r>
      <w:r w:rsidRPr="00D8766F">
        <w:t>acionalnog programa za kontrolu otpornosti bakterija na antibiotike</w:t>
      </w:r>
      <w:r w:rsidR="00952A25">
        <w:t xml:space="preserve"> 201</w:t>
      </w:r>
      <w:r w:rsidR="007A34A6">
        <w:t>7</w:t>
      </w:r>
      <w:r w:rsidR="00952A25">
        <w:t>. - 202</w:t>
      </w:r>
      <w:r w:rsidR="007A34A6">
        <w:t>1</w:t>
      </w:r>
      <w:r w:rsidR="00952A25">
        <w:t>.</w:t>
      </w:r>
      <w:r w:rsidRPr="00D8766F">
        <w:t xml:space="preserve"> </w:t>
      </w:r>
      <w:r>
        <w:t>je</w:t>
      </w:r>
      <w:r w:rsidRPr="00D8766F">
        <w:t xml:space="preserve"> </w:t>
      </w:r>
      <w:r>
        <w:t xml:space="preserve">unaprjeđenje i </w:t>
      </w:r>
      <w:r w:rsidRPr="00D8766F">
        <w:t>zaštit</w:t>
      </w:r>
      <w:r>
        <w:t>a</w:t>
      </w:r>
      <w:r w:rsidRPr="00D8766F">
        <w:t xml:space="preserve"> zdravlja hrvatskog stanovništva osiguravanjem kvalitetne zdravstvene skrbi</w:t>
      </w:r>
      <w:r>
        <w:t xml:space="preserve"> uz očuvanje djelotvornosti antibiotika</w:t>
      </w:r>
      <w:r w:rsidRPr="00D8766F">
        <w:t xml:space="preserve">. </w:t>
      </w:r>
      <w:r>
        <w:t>Aktivnosti usmjerene na ograničavanje razvoja i širenja otpornosti na antibiotike uključuju sljedeće ciljeve:</w:t>
      </w:r>
    </w:p>
    <w:p w:rsidR="007D4508" w:rsidRPr="00D8766F" w:rsidRDefault="007D4508" w:rsidP="007D4508">
      <w:pPr>
        <w:jc w:val="both"/>
      </w:pPr>
    </w:p>
    <w:p w:rsidR="007D4508" w:rsidRPr="00D8766F" w:rsidRDefault="007D4508" w:rsidP="007D4508">
      <w:pPr>
        <w:jc w:val="both"/>
      </w:pPr>
    </w:p>
    <w:p w:rsidR="007D4508" w:rsidRPr="00E41624" w:rsidRDefault="007D4508" w:rsidP="007D4508">
      <w:pPr>
        <w:pStyle w:val="Tekstkomentara"/>
        <w:numPr>
          <w:ilvl w:val="0"/>
          <w:numId w:val="1"/>
        </w:numPr>
        <w:jc w:val="both"/>
        <w:rPr>
          <w:sz w:val="24"/>
          <w:szCs w:val="24"/>
        </w:rPr>
      </w:pPr>
      <w:r w:rsidRPr="00E41624">
        <w:rPr>
          <w:sz w:val="24"/>
          <w:szCs w:val="24"/>
        </w:rPr>
        <w:t xml:space="preserve">Pratiti potrošnju </w:t>
      </w:r>
      <w:r>
        <w:rPr>
          <w:sz w:val="24"/>
          <w:szCs w:val="24"/>
        </w:rPr>
        <w:t>antimikrobnih lijekova</w:t>
      </w:r>
      <w:r w:rsidRPr="00E41624">
        <w:rPr>
          <w:sz w:val="24"/>
          <w:szCs w:val="24"/>
        </w:rPr>
        <w:t xml:space="preserve"> i otpornost bakterija na antibiotike u p</w:t>
      </w:r>
      <w:r>
        <w:rPr>
          <w:sz w:val="24"/>
          <w:szCs w:val="24"/>
        </w:rPr>
        <w:t>odručju humane i veterinarske</w:t>
      </w:r>
      <w:r w:rsidRPr="00E41624">
        <w:rPr>
          <w:sz w:val="24"/>
          <w:szCs w:val="24"/>
        </w:rPr>
        <w:t xml:space="preserve"> medicine</w:t>
      </w:r>
      <w:r>
        <w:t xml:space="preserve"> </w:t>
      </w:r>
      <w:r w:rsidRPr="00E41624">
        <w:rPr>
          <w:sz w:val="24"/>
          <w:szCs w:val="24"/>
        </w:rPr>
        <w:t xml:space="preserve">u Republici Hrvatskoj kako bi se uočavali negativni ili pozitivni trendovi te omogućila usporedba s ostalim državama Europske unije </w:t>
      </w:r>
    </w:p>
    <w:p w:rsidR="007D4508" w:rsidRPr="00D8766F" w:rsidRDefault="007D4508" w:rsidP="007D4508">
      <w:pPr>
        <w:numPr>
          <w:ilvl w:val="0"/>
          <w:numId w:val="1"/>
        </w:numPr>
        <w:jc w:val="both"/>
      </w:pPr>
      <w:r>
        <w:t xml:space="preserve">Podići svjesnost </w:t>
      </w:r>
      <w:r w:rsidRPr="00D8766F">
        <w:t>o štetnosti prekomjerne uporabe antibiotika</w:t>
      </w:r>
      <w:r>
        <w:t xml:space="preserve"> kod onih koji antibiotike propisuju, izdaju i konzumiraju</w:t>
      </w:r>
    </w:p>
    <w:p w:rsidR="007D4508" w:rsidRPr="00E41624" w:rsidRDefault="007D4508" w:rsidP="007D4508">
      <w:pPr>
        <w:pStyle w:val="Tekstkomentara"/>
        <w:numPr>
          <w:ilvl w:val="0"/>
          <w:numId w:val="1"/>
        </w:numPr>
        <w:rPr>
          <w:sz w:val="24"/>
          <w:szCs w:val="24"/>
        </w:rPr>
      </w:pPr>
      <w:r>
        <w:rPr>
          <w:sz w:val="24"/>
          <w:szCs w:val="24"/>
        </w:rPr>
        <w:t>Spriječiti pojavu i kontrolirati širenje infekcija</w:t>
      </w:r>
    </w:p>
    <w:p w:rsidR="007D4508" w:rsidRPr="00E41624" w:rsidRDefault="007D4508" w:rsidP="007D4508">
      <w:pPr>
        <w:pStyle w:val="Tekstkomentara"/>
        <w:numPr>
          <w:ilvl w:val="0"/>
          <w:numId w:val="1"/>
        </w:numPr>
        <w:rPr>
          <w:sz w:val="24"/>
          <w:szCs w:val="24"/>
        </w:rPr>
      </w:pPr>
      <w:r>
        <w:rPr>
          <w:sz w:val="24"/>
          <w:szCs w:val="24"/>
        </w:rPr>
        <w:t>O</w:t>
      </w:r>
      <w:r w:rsidR="001D3297">
        <w:rPr>
          <w:sz w:val="24"/>
          <w:szCs w:val="24"/>
        </w:rPr>
        <w:t>ptimi</w:t>
      </w:r>
      <w:r w:rsidRPr="00E41624">
        <w:rPr>
          <w:sz w:val="24"/>
          <w:szCs w:val="24"/>
        </w:rPr>
        <w:t>zirati primjenu anti</w:t>
      </w:r>
      <w:r>
        <w:rPr>
          <w:sz w:val="24"/>
          <w:szCs w:val="24"/>
        </w:rPr>
        <w:t>mikrobnih lijekova u humanoj i veterinarsk</w:t>
      </w:r>
      <w:r w:rsidRPr="00E41624">
        <w:rPr>
          <w:sz w:val="24"/>
          <w:szCs w:val="24"/>
        </w:rPr>
        <w:t>oj medicini</w:t>
      </w:r>
    </w:p>
    <w:p w:rsidR="007D4508" w:rsidRPr="00D8766F" w:rsidRDefault="007D4508" w:rsidP="007D4508">
      <w:pPr>
        <w:numPr>
          <w:ilvl w:val="0"/>
          <w:numId w:val="1"/>
        </w:numPr>
        <w:jc w:val="both"/>
      </w:pPr>
      <w:r>
        <w:t>Održava</w:t>
      </w:r>
      <w:r w:rsidRPr="00D8766F">
        <w:t xml:space="preserve">ti dobru </w:t>
      </w:r>
      <w:r>
        <w:t xml:space="preserve">međunarodnu suradnju s institucijama koje se bave problemom otpornosti na antibiotike, prvenstveno </w:t>
      </w:r>
      <w:r w:rsidRPr="00D8766F">
        <w:t xml:space="preserve">s </w:t>
      </w:r>
      <w:r>
        <w:t>Europskim centrom za prevenciju i kontrolu bolesti (ECDC), Svjetskom zdravstvenom organizacijom (WHO) te Svjetskom organizacijom za zdravlje životinja (OIE).</w:t>
      </w:r>
    </w:p>
    <w:p w:rsidR="007D4508" w:rsidRDefault="007D4508" w:rsidP="007D4508">
      <w:pPr>
        <w:jc w:val="both"/>
      </w:pPr>
    </w:p>
    <w:p w:rsidR="007D4508" w:rsidRDefault="007D4508" w:rsidP="007D4508">
      <w:pPr>
        <w:jc w:val="both"/>
      </w:pPr>
      <w:r>
        <w:t>Ovi ciljevi će se ostvarivati kroz šest osnovnih područja djelovanja koja su u skladu s aktivnostima predviđenim planom Europskog centra za prevenciju i kontrolu bolesti</w:t>
      </w:r>
      <w:r w:rsidR="00952A25">
        <w:t xml:space="preserve">, </w:t>
      </w:r>
      <w:r>
        <w:t>Svjetske</w:t>
      </w:r>
      <w:r w:rsidR="00604004">
        <w:t xml:space="preserve"> zdravstvene organizacije (G</w:t>
      </w:r>
      <w:r>
        <w:t>lobal action plan on antimicrobial resistance, 2015) i Svjetsk</w:t>
      </w:r>
      <w:r w:rsidR="00952A25">
        <w:t>e</w:t>
      </w:r>
      <w:r>
        <w:t xml:space="preserve"> organizacij</w:t>
      </w:r>
      <w:r w:rsidR="00952A25">
        <w:t>e</w:t>
      </w:r>
      <w:r>
        <w:t xml:space="preserve"> za zdravlje životinja (OIE).</w:t>
      </w: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952A25" w:rsidRDefault="00952A25" w:rsidP="007D4508">
      <w:pPr>
        <w:jc w:val="both"/>
      </w:pPr>
    </w:p>
    <w:p w:rsidR="00604004" w:rsidRDefault="00604004" w:rsidP="00422895">
      <w:pPr>
        <w:pStyle w:val="Naslov1"/>
      </w:pPr>
    </w:p>
    <w:p w:rsidR="00952A25" w:rsidRPr="00952A25" w:rsidRDefault="00952A25" w:rsidP="00422895">
      <w:pPr>
        <w:pStyle w:val="Naslov1"/>
      </w:pPr>
      <w:bookmarkStart w:id="11" w:name="_Toc498334033"/>
      <w:r w:rsidRPr="00952A25">
        <w:t>4</w:t>
      </w:r>
      <w:r w:rsidRPr="00952A25">
        <w:tab/>
        <w:t>PRIORITETNA PODRUČJA RADA</w:t>
      </w:r>
      <w:bookmarkEnd w:id="11"/>
      <w:r w:rsidRPr="00952A25">
        <w:t xml:space="preserve"> </w:t>
      </w:r>
    </w:p>
    <w:p w:rsidR="00952A25" w:rsidRDefault="00952A25" w:rsidP="00952A25">
      <w:pPr>
        <w:jc w:val="both"/>
        <w:rPr>
          <w:b/>
          <w:sz w:val="36"/>
          <w:szCs w:val="36"/>
        </w:rPr>
      </w:pPr>
    </w:p>
    <w:p w:rsidR="00952A25" w:rsidRDefault="00952A25" w:rsidP="00952A25">
      <w:pPr>
        <w:jc w:val="both"/>
      </w:pPr>
      <w:r>
        <w:t>Republika Hrvatska shvaća važnost kontroliranja širenja otpornosti bakterija na antibiotike na lokalnoj, nacionalnoj i internacionalnoj razini te provodi</w:t>
      </w:r>
      <w:r w:rsidRPr="00B86CE9">
        <w:t xml:space="preserve"> aktivnosti</w:t>
      </w:r>
      <w:r>
        <w:t xml:space="preserve"> sukladno Globalnom akcijskom planu o antimikrobnoj otpornosti Svjetske zdravstvene organizacije  (Global Action Plan on Antimikrobial Resistance, 2015). Globalni akcijski plan Svjetske zdravstvene organizacije definira pet glavnih ciljeva djelovanja imajući u vidu da se različite zemlje nalaze u različitim prilikama i mogućnostima kontroliranja antimikrobne rezistencije. Svjetska zdravstvena organizacija predlaže da pojedine države odaberu područja na koja se mogu najviše fokusirati ovisno o situaciji u vlastitoj zemlji. </w:t>
      </w:r>
    </w:p>
    <w:p w:rsidR="00952A25" w:rsidRDefault="00952A25" w:rsidP="00952A25">
      <w:pPr>
        <w:jc w:val="both"/>
      </w:pPr>
    </w:p>
    <w:p w:rsidR="00952A25" w:rsidRDefault="00952A25" w:rsidP="00952A25">
      <w:pPr>
        <w:jc w:val="both"/>
      </w:pPr>
      <w:r>
        <w:t>U Republici Hrvatskoj će poseban fokus biti na aktivnostima:</w:t>
      </w:r>
    </w:p>
    <w:p w:rsidR="00952A25" w:rsidRDefault="00952A25" w:rsidP="00952A25">
      <w:pPr>
        <w:jc w:val="both"/>
      </w:pPr>
    </w:p>
    <w:p w:rsidR="00952A25" w:rsidRPr="00BA72A6" w:rsidRDefault="00952A25" w:rsidP="00952A25">
      <w:pPr>
        <w:numPr>
          <w:ilvl w:val="0"/>
          <w:numId w:val="7"/>
        </w:numPr>
        <w:jc w:val="both"/>
        <w:rPr>
          <w:b/>
        </w:rPr>
      </w:pPr>
      <w:r>
        <w:rPr>
          <w:b/>
        </w:rPr>
        <w:t>Podizati svijest, razumijevanje</w:t>
      </w:r>
      <w:r w:rsidRPr="00BA72A6">
        <w:rPr>
          <w:b/>
        </w:rPr>
        <w:t xml:space="preserve"> i </w:t>
      </w:r>
      <w:r w:rsidR="00CD14B7">
        <w:rPr>
          <w:b/>
        </w:rPr>
        <w:t xml:space="preserve">unaprijediti </w:t>
      </w:r>
      <w:r w:rsidRPr="00BA72A6">
        <w:rPr>
          <w:b/>
        </w:rPr>
        <w:t>edukacij</w:t>
      </w:r>
      <w:r w:rsidR="00CD14B7">
        <w:rPr>
          <w:b/>
        </w:rPr>
        <w:t>u</w:t>
      </w:r>
      <w:r w:rsidRPr="00BA72A6">
        <w:rPr>
          <w:b/>
        </w:rPr>
        <w:t xml:space="preserve"> o antimikrobnoj rezistenciji</w:t>
      </w:r>
    </w:p>
    <w:p w:rsidR="00952A25" w:rsidRDefault="00952A25" w:rsidP="00952A25">
      <w:pPr>
        <w:ind w:left="720"/>
        <w:jc w:val="both"/>
      </w:pPr>
      <w:r>
        <w:t xml:space="preserve">Uz već postojeće aktivnosti održavanja tečajeva i stručnih sastanaka, razvijanja nacionalnih smjernica i provođenja nacionalne kampanje širenja svjesnosti o antibioticima potrebno je intenzivno raditi i na unaprjeđenju edukacije o praktičnoj primjeni </w:t>
      </w:r>
      <w:r w:rsidRPr="004D310D">
        <w:t xml:space="preserve">antibiotika </w:t>
      </w:r>
      <w:r w:rsidR="004D310D">
        <w:t xml:space="preserve">u nastavi na </w:t>
      </w:r>
      <w:r>
        <w:t>medicinski</w:t>
      </w:r>
      <w:r w:rsidR="004D310D">
        <w:t>m</w:t>
      </w:r>
      <w:r>
        <w:t>, veterinarski</w:t>
      </w:r>
      <w:r w:rsidR="004D310D">
        <w:t>m</w:t>
      </w:r>
      <w:r>
        <w:t xml:space="preserve"> i farmaceutski</w:t>
      </w:r>
      <w:r w:rsidR="004D310D">
        <w:t>m</w:t>
      </w:r>
      <w:r>
        <w:t xml:space="preserve"> škola</w:t>
      </w:r>
      <w:r w:rsidR="004D310D">
        <w:t>ma</w:t>
      </w:r>
      <w:r>
        <w:t xml:space="preserve"> i fakultet</w:t>
      </w:r>
      <w:r w:rsidR="004D310D">
        <w:t>ima</w:t>
      </w:r>
      <w:r>
        <w:t xml:space="preserve">. Također treba razvijati programe rukovođenja antimikrobnom terapijom u bolnicama i </w:t>
      </w:r>
      <w:r w:rsidR="004D310D">
        <w:t>uspostaviti</w:t>
      </w:r>
      <w:r>
        <w:t xml:space="preserve"> timove za rukovođenje antimikrobnom terapijom.</w:t>
      </w:r>
    </w:p>
    <w:p w:rsidR="00952A25" w:rsidRDefault="00952A25" w:rsidP="00952A25">
      <w:pPr>
        <w:ind w:left="720"/>
        <w:jc w:val="both"/>
      </w:pPr>
    </w:p>
    <w:p w:rsidR="00952A25" w:rsidRDefault="00952A25" w:rsidP="00952A25">
      <w:pPr>
        <w:numPr>
          <w:ilvl w:val="0"/>
          <w:numId w:val="7"/>
        </w:numPr>
        <w:jc w:val="both"/>
        <w:rPr>
          <w:b/>
        </w:rPr>
      </w:pPr>
      <w:r>
        <w:rPr>
          <w:b/>
        </w:rPr>
        <w:t xml:space="preserve">Unaprijediti znanja kroz programe praćenja i istraživanja </w:t>
      </w:r>
    </w:p>
    <w:p w:rsidR="00952A25" w:rsidRDefault="00952A25" w:rsidP="00952A25">
      <w:pPr>
        <w:ind w:left="720"/>
        <w:jc w:val="both"/>
      </w:pPr>
      <w:r>
        <w:t xml:space="preserve">Sve aktivnosti kontrole širenja rezistencije trebaju se zasnivati na vlastitim podacima o stopama rezistencije i potrošnji antibiotika. </w:t>
      </w:r>
      <w:r w:rsidR="00604004">
        <w:t xml:space="preserve">Republika </w:t>
      </w:r>
      <w:r>
        <w:t>Hrvatska će kontinuirano pratiti     rezistenciju na antibiotike i potrošnju antimikrobnih lijekova u skladu s internacionalnim standardima i sudjelovati u europskim programima EARS-Net i ESAC-Net. Potrebno je unaprijediti komunikaciju rezultata praćenja kako bi oni poticali uporabu usko</w:t>
      </w:r>
      <w:r w:rsidR="00E318B6">
        <w:t xml:space="preserve"> </w:t>
      </w:r>
      <w:r>
        <w:t xml:space="preserve">spektralnih antibiotika gdje god je njihova primjena opravdana. U svrhu boljeg razumijevanja nastajanja antimikrobne rezistencije treba razvijati jasne indikatore racionalnog propisivanja antibiotika.  </w:t>
      </w:r>
    </w:p>
    <w:p w:rsidR="00952A25" w:rsidRDefault="00952A25" w:rsidP="00952A25">
      <w:pPr>
        <w:jc w:val="both"/>
      </w:pPr>
    </w:p>
    <w:p w:rsidR="00952A25" w:rsidRPr="00BA72A6" w:rsidRDefault="00952A25" w:rsidP="00952A25">
      <w:pPr>
        <w:numPr>
          <w:ilvl w:val="0"/>
          <w:numId w:val="7"/>
        </w:numPr>
        <w:jc w:val="both"/>
        <w:rPr>
          <w:b/>
        </w:rPr>
      </w:pPr>
      <w:r>
        <w:rPr>
          <w:b/>
        </w:rPr>
        <w:t xml:space="preserve">Smanjiti incidenciju infekcija </w:t>
      </w:r>
    </w:p>
    <w:p w:rsidR="00952A25" w:rsidRDefault="00952A25" w:rsidP="00952A25">
      <w:pPr>
        <w:ind w:left="720"/>
        <w:jc w:val="both"/>
      </w:pPr>
      <w:r>
        <w:t>Nacionalni program za kontrolu infekcija povezanih sa zdravstvenom zaštitom 2013. – 2017. nadopunjuje se s Nac</w:t>
      </w:r>
      <w:r w:rsidR="0031515B">
        <w:t xml:space="preserve">ionalnim programom za kontrolu </w:t>
      </w:r>
      <w:r>
        <w:t xml:space="preserve">otpornosti bakterija na antibiotike </w:t>
      </w:r>
      <w:r w:rsidR="00804575">
        <w:t>2017</w:t>
      </w:r>
      <w:r w:rsidR="00D82246">
        <w:t>.</w:t>
      </w:r>
      <w:r w:rsidR="00E318B6">
        <w:t xml:space="preserve"> </w:t>
      </w:r>
      <w:r w:rsidR="00D82246">
        <w:t>- 202</w:t>
      </w:r>
      <w:r w:rsidR="00804575">
        <w:t>1</w:t>
      </w:r>
      <w:r w:rsidR="00D82246">
        <w:t xml:space="preserve">. </w:t>
      </w:r>
      <w:r>
        <w:t xml:space="preserve">provedbom učinkovitih sanitarno-higijenskih i preventivnih mjera. Edukacija timova za kontrolu bolničkih infekcija o mjerama suzbijanja i kontrole bolničkih infekcija je intenzivna no najveći izazov predstavlja implementacija poznatih standardnih mjera predostrožnosti (higijena ruku) i mjera izolacije u praksi. Opći trend smanjenja boravka pacijenta u bolnici te način financiranja zdravstvene skrbi dovest će do manje okupiranosti kreveta u bolnicama i lakšeg provođenja fizičke izolacije pacijenata s mnogostruko otpornim bakterijama što bi moralo olakšati provođenje i ostalih mjera kontaktne izolacije. Zdravstveni sustav </w:t>
      </w:r>
      <w:r w:rsidR="00604004">
        <w:t>treba</w:t>
      </w:r>
      <w:r>
        <w:t xml:space="preserve"> osigurati dovoljan broj zdravstvenih radnika koji bi omogućio brzi obrtaj pacijenata te adekvatnu skrb za bolesnike u izolaciji.</w:t>
      </w:r>
    </w:p>
    <w:p w:rsidR="00984C58" w:rsidRDefault="00984C58" w:rsidP="00952A25">
      <w:pPr>
        <w:ind w:left="720"/>
        <w:jc w:val="both"/>
      </w:pPr>
    </w:p>
    <w:p w:rsidR="00984C58" w:rsidRDefault="00984C58" w:rsidP="00952A25">
      <w:pPr>
        <w:ind w:left="720"/>
        <w:jc w:val="both"/>
      </w:pPr>
    </w:p>
    <w:p w:rsidR="00952A25" w:rsidRDefault="00952A25" w:rsidP="00952A25">
      <w:pPr>
        <w:ind w:left="720"/>
        <w:jc w:val="both"/>
      </w:pPr>
    </w:p>
    <w:p w:rsidR="00604004" w:rsidRDefault="00604004" w:rsidP="00952A25">
      <w:pPr>
        <w:ind w:left="720"/>
        <w:jc w:val="both"/>
      </w:pPr>
    </w:p>
    <w:p w:rsidR="00604004" w:rsidRDefault="00604004" w:rsidP="00952A25">
      <w:pPr>
        <w:ind w:left="720"/>
        <w:jc w:val="both"/>
      </w:pPr>
    </w:p>
    <w:p w:rsidR="00952A25" w:rsidRPr="00B37DB3" w:rsidRDefault="00952A25" w:rsidP="00952A25">
      <w:pPr>
        <w:numPr>
          <w:ilvl w:val="0"/>
          <w:numId w:val="7"/>
        </w:numPr>
        <w:jc w:val="both"/>
        <w:rPr>
          <w:b/>
        </w:rPr>
      </w:pPr>
      <w:r>
        <w:rPr>
          <w:b/>
        </w:rPr>
        <w:t>Optimizirati uporabu</w:t>
      </w:r>
      <w:r w:rsidRPr="00B37DB3">
        <w:rPr>
          <w:b/>
        </w:rPr>
        <w:t xml:space="preserve"> postojećih antibiotika u humanoj i veterinarskoj medicini te poljoprivredi</w:t>
      </w:r>
    </w:p>
    <w:p w:rsidR="00952A25" w:rsidRDefault="00952A25" w:rsidP="00952A25">
      <w:pPr>
        <w:ind w:left="720"/>
        <w:jc w:val="both"/>
      </w:pPr>
      <w:r>
        <w:t xml:space="preserve">Potrebno je osigurati dostupnost antibiotika uskog spektra na tržištu kako bi uporaba široko spektralnih antibiotika bila ograničena samo na infekcije koje ugrožavaju život.   Koordinacija između sektora humane i veterinarske medicine te gospodarstva   neophodna je kako se antibiotici ključni za liječenje u humanoj medicini ne bi koristili u veterini i gospodarstvu. Pravilnu primjenu antibiotika treba osigurati kroz programe rukovođenja antimikrobnom terapijom (engl. „antibiotic stewardship program“) i edukaciju timova za rukovođenje antimikrobnom terapijom. </w:t>
      </w:r>
    </w:p>
    <w:p w:rsidR="00952A25" w:rsidRPr="00BD2B10" w:rsidRDefault="00952A25" w:rsidP="00952A25">
      <w:pPr>
        <w:ind w:left="720"/>
        <w:jc w:val="both"/>
        <w:rPr>
          <w:b/>
        </w:rPr>
      </w:pPr>
    </w:p>
    <w:p w:rsidR="00952A25" w:rsidRPr="005C2003" w:rsidRDefault="00952A25" w:rsidP="00952A25">
      <w:pPr>
        <w:numPr>
          <w:ilvl w:val="0"/>
          <w:numId w:val="7"/>
        </w:numPr>
        <w:jc w:val="both"/>
        <w:rPr>
          <w:b/>
        </w:rPr>
      </w:pPr>
      <w:r>
        <w:rPr>
          <w:b/>
        </w:rPr>
        <w:t>Razviti ekonomski održivo investiranje u nove lijekove, dijagnostička sredstva, cjepiva i druge intervencije</w:t>
      </w:r>
    </w:p>
    <w:p w:rsidR="00952A25" w:rsidRPr="005C2003" w:rsidRDefault="00952A25" w:rsidP="00952A25">
      <w:pPr>
        <w:ind w:left="720"/>
        <w:jc w:val="both"/>
      </w:pPr>
      <w:r>
        <w:t xml:space="preserve">Potrebni su novi procesi da se ubrza istraživanje i razvoj novih antimikrobnih lijekova i </w:t>
      </w:r>
      <w:r w:rsidRPr="005C2003">
        <w:t>tehnologija potrebnih za kontr</w:t>
      </w:r>
      <w:r>
        <w:t>o</w:t>
      </w:r>
      <w:r w:rsidRPr="005C2003">
        <w:t xml:space="preserve">liranje širenja antimikrobne rezistencije i u dugoročnim procjenama ekonomskog, razvojnog i društvenog ulaganja vezanog uz kontroliranje širenja antimikrobne rezistencije. </w:t>
      </w:r>
      <w:r w:rsidR="00604004">
        <w:t xml:space="preserve">Republika </w:t>
      </w:r>
      <w:r w:rsidRPr="005C2003">
        <w:t xml:space="preserve">Hrvatska svoj doprinos globalnom akcijskom planu u ovom području može dati kroz sudjelovanje u internacionalnim, multicentričnim istraživanjima. </w:t>
      </w:r>
    </w:p>
    <w:p w:rsidR="00952A25" w:rsidRDefault="00952A25" w:rsidP="00952A25">
      <w:pPr>
        <w:ind w:left="720"/>
        <w:jc w:val="both"/>
      </w:pPr>
    </w:p>
    <w:p w:rsidR="00952A25" w:rsidRDefault="00952A25" w:rsidP="00952A25">
      <w:pPr>
        <w:ind w:left="720"/>
        <w:jc w:val="both"/>
      </w:pPr>
    </w:p>
    <w:p w:rsidR="00952A25" w:rsidRDefault="00952A25" w:rsidP="00952A25">
      <w:pPr>
        <w:ind w:left="720"/>
        <w:jc w:val="both"/>
      </w:pPr>
    </w:p>
    <w:p w:rsidR="00952A25" w:rsidRDefault="00952A25" w:rsidP="007D4508">
      <w:pPr>
        <w:jc w:val="both"/>
      </w:pPr>
    </w:p>
    <w:p w:rsidR="00952A25" w:rsidRPr="00D8766F" w:rsidRDefault="00952A25" w:rsidP="007D4508">
      <w:pPr>
        <w:jc w:val="both"/>
      </w:pPr>
    </w:p>
    <w:p w:rsidR="007D4508" w:rsidRPr="00D8766F" w:rsidRDefault="007D4508" w:rsidP="007D4508">
      <w:pPr>
        <w:jc w:val="both"/>
      </w:pPr>
    </w:p>
    <w:p w:rsidR="007D4508" w:rsidRPr="00952A25" w:rsidRDefault="007D4508" w:rsidP="00422895">
      <w:pPr>
        <w:pStyle w:val="Naslov1"/>
      </w:pPr>
      <w:r w:rsidRPr="00D8766F">
        <w:br w:type="page"/>
      </w:r>
      <w:bookmarkStart w:id="12" w:name="_Toc498334034"/>
      <w:r w:rsidR="00952A25" w:rsidRPr="00952A25">
        <w:t>5</w:t>
      </w:r>
      <w:r w:rsidR="00952A25" w:rsidRPr="00952A25">
        <w:tab/>
      </w:r>
      <w:r w:rsidRPr="00952A25">
        <w:t>PLAN I PODRUČJE DJELOVANJA</w:t>
      </w:r>
      <w:bookmarkEnd w:id="12"/>
    </w:p>
    <w:p w:rsidR="007D4508" w:rsidRDefault="007D4508" w:rsidP="007D4508">
      <w:pPr>
        <w:jc w:val="both"/>
        <w:rPr>
          <w:b/>
          <w:sz w:val="28"/>
          <w:szCs w:val="28"/>
        </w:rPr>
      </w:pPr>
    </w:p>
    <w:p w:rsidR="007D4508" w:rsidRPr="00D8766F" w:rsidRDefault="007D4508" w:rsidP="007D4508">
      <w:pPr>
        <w:jc w:val="both"/>
        <w:rPr>
          <w:b/>
          <w:sz w:val="28"/>
          <w:szCs w:val="28"/>
        </w:rPr>
      </w:pPr>
    </w:p>
    <w:p w:rsidR="007D4508" w:rsidRDefault="007D4508" w:rsidP="007D4508">
      <w:pPr>
        <w:jc w:val="both"/>
      </w:pPr>
      <w:r>
        <w:t>Razvoj otpornosti bakterija na antibiotike je evolucijski proces koji je vrlo teško kontrolirati i zahtjeva koordinirani pristup mnogih vladinih i nevladinih organizacija. U cilju uspješnog provođenja plana pri Ministarstvu zdrav</w:t>
      </w:r>
      <w:r w:rsidR="00E05FC9">
        <w:t>stva</w:t>
      </w:r>
      <w:r>
        <w:t xml:space="preserve"> osnovana je </w:t>
      </w:r>
      <w:r w:rsidR="00604004">
        <w:t>I</w:t>
      </w:r>
      <w:r w:rsidRPr="00D8766F">
        <w:rPr>
          <w:i/>
        </w:rPr>
        <w:t>SKRA</w:t>
      </w:r>
      <w:r w:rsidRPr="00D8766F">
        <w:t xml:space="preserve">. Uloga ove sekcije je da nadzire, primjenjuje i usmjerava zacrtane aktivnosti te da izvješćuje </w:t>
      </w:r>
      <w:r w:rsidR="00E318B6">
        <w:t>M</w:t>
      </w:r>
      <w:r w:rsidRPr="00D8766F">
        <w:t xml:space="preserve">inistarstvo </w:t>
      </w:r>
      <w:r w:rsidR="00604004">
        <w:t>zdravstva o provedenim aktivnostima i</w:t>
      </w:r>
      <w:r w:rsidRPr="00D8766F">
        <w:t xml:space="preserve"> postignutim rezultatima.</w:t>
      </w:r>
      <w:r>
        <w:t xml:space="preserve"> </w:t>
      </w:r>
      <w:r w:rsidR="0083008B">
        <w:t>Ministarstvo zdravstva</w:t>
      </w:r>
      <w:r>
        <w:t xml:space="preserve"> i Ministarstvo poljoprivrede u suradnji s drugim relevantnim institucijama i stručnjacima za antimikrobnu rezistenciju </w:t>
      </w:r>
      <w:r w:rsidR="00816EE4">
        <w:t xml:space="preserve">surađuju </w:t>
      </w:r>
      <w:r>
        <w:t xml:space="preserve">s Europskom komisijom, državama članicama te međunarodnim organizacijama u području rezistencije bakterija na antibiotike. </w:t>
      </w:r>
    </w:p>
    <w:p w:rsidR="007D4508" w:rsidRPr="00D8766F" w:rsidRDefault="007D4508" w:rsidP="007D4508">
      <w:pPr>
        <w:jc w:val="both"/>
      </w:pPr>
    </w:p>
    <w:p w:rsidR="007D4508" w:rsidRDefault="007D4508" w:rsidP="007D4508">
      <w:pPr>
        <w:jc w:val="both"/>
      </w:pPr>
      <w:r w:rsidRPr="00D8766F">
        <w:t xml:space="preserve">Plan provođenja </w:t>
      </w:r>
      <w:r w:rsidR="00952A25">
        <w:t>N</w:t>
      </w:r>
      <w:r w:rsidRPr="00D8766F">
        <w:t xml:space="preserve">acionalnog programa za kontrolu otpornosti bakterija na antibiotike </w:t>
      </w:r>
      <w:r w:rsidR="00D82246">
        <w:t>201</w:t>
      </w:r>
      <w:r w:rsidR="0083008B">
        <w:t>7</w:t>
      </w:r>
      <w:r w:rsidR="00952A25">
        <w:t>. – 202</w:t>
      </w:r>
      <w:r w:rsidR="0083008B">
        <w:t>1</w:t>
      </w:r>
      <w:r w:rsidR="00952A25">
        <w:t>.</w:t>
      </w:r>
      <w:r w:rsidRPr="00D8766F">
        <w:t xml:space="preserve"> obuhvaća sljedeć</w:t>
      </w:r>
      <w:r>
        <w:t>a područja</w:t>
      </w:r>
      <w:r w:rsidRPr="00D8766F">
        <w:t>:</w:t>
      </w:r>
    </w:p>
    <w:p w:rsidR="007D4508" w:rsidRPr="00D8766F" w:rsidRDefault="007D4508" w:rsidP="007D4508">
      <w:pPr>
        <w:jc w:val="both"/>
      </w:pPr>
    </w:p>
    <w:p w:rsidR="007D4508" w:rsidRPr="00D8766F" w:rsidRDefault="007D4508" w:rsidP="0096764C">
      <w:pPr>
        <w:numPr>
          <w:ilvl w:val="0"/>
          <w:numId w:val="32"/>
        </w:numPr>
        <w:jc w:val="both"/>
      </w:pPr>
      <w:r w:rsidRPr="00D8766F">
        <w:t xml:space="preserve">Praćenje otpornosti bakterija na antibiotike </w:t>
      </w:r>
    </w:p>
    <w:p w:rsidR="0096764C" w:rsidRDefault="007D4508" w:rsidP="0096764C">
      <w:pPr>
        <w:numPr>
          <w:ilvl w:val="0"/>
          <w:numId w:val="32"/>
        </w:numPr>
        <w:jc w:val="both"/>
      </w:pPr>
      <w:r w:rsidRPr="00D8766F">
        <w:t xml:space="preserve">Praćenje potrošnje </w:t>
      </w:r>
      <w:r w:rsidR="00E50863">
        <w:t>antimikrobnih lijekova</w:t>
      </w:r>
    </w:p>
    <w:p w:rsidR="0096764C" w:rsidRDefault="007D4508" w:rsidP="0096764C">
      <w:pPr>
        <w:numPr>
          <w:ilvl w:val="0"/>
          <w:numId w:val="32"/>
        </w:numPr>
        <w:jc w:val="both"/>
      </w:pPr>
      <w:r w:rsidRPr="00D8766F">
        <w:t xml:space="preserve">Promicanje </w:t>
      </w:r>
      <w:r w:rsidR="0096764C">
        <w:t>odgovorne uporabe antimikrobnih lijekova</w:t>
      </w:r>
    </w:p>
    <w:p w:rsidR="0096764C" w:rsidRPr="00952A25" w:rsidRDefault="0096764C" w:rsidP="0096764C">
      <w:pPr>
        <w:numPr>
          <w:ilvl w:val="0"/>
          <w:numId w:val="32"/>
        </w:numPr>
        <w:jc w:val="both"/>
      </w:pPr>
      <w:r w:rsidRPr="00952A25">
        <w:t>Sprječavanje i kontrola širenja infekcija</w:t>
      </w:r>
    </w:p>
    <w:p w:rsidR="0096764C" w:rsidRDefault="0096764C" w:rsidP="0096764C">
      <w:pPr>
        <w:numPr>
          <w:ilvl w:val="0"/>
          <w:numId w:val="32"/>
        </w:numPr>
        <w:jc w:val="both"/>
      </w:pPr>
      <w:r w:rsidRPr="00422895">
        <w:t>Podizanje svjesnosti o štetnosti prekomjerne uporabe antimikrobnih lijekova</w:t>
      </w:r>
    </w:p>
    <w:p w:rsidR="0096764C" w:rsidRPr="00D8766F" w:rsidRDefault="0096764C" w:rsidP="0096764C">
      <w:pPr>
        <w:numPr>
          <w:ilvl w:val="0"/>
          <w:numId w:val="32"/>
        </w:numPr>
        <w:jc w:val="both"/>
      </w:pPr>
      <w:r w:rsidRPr="00A56977">
        <w:t>Podupiranje znanstven</w:t>
      </w:r>
      <w:r>
        <w:t>ih</w:t>
      </w:r>
      <w:r w:rsidRPr="00A56977">
        <w:t xml:space="preserve"> istraživanja na području rezist</w:t>
      </w:r>
      <w:r>
        <w:t>encije bakterija na antibiotike</w:t>
      </w:r>
    </w:p>
    <w:p w:rsidR="007D4508" w:rsidRPr="00D8766F" w:rsidRDefault="007D4508" w:rsidP="007D4508">
      <w:pPr>
        <w:jc w:val="both"/>
      </w:pPr>
    </w:p>
    <w:p w:rsidR="007D4508" w:rsidRDefault="007D4508" w:rsidP="007D4508">
      <w:pPr>
        <w:jc w:val="both"/>
      </w:pPr>
      <w:r>
        <w:t>U ovom integriranom pristupu kontroli širenja otpornosti bakterija na antibiotike sudjelovat će tri ministarstva Republike Hrvatske (</w:t>
      </w:r>
      <w:r w:rsidR="0083008B">
        <w:t>Ministarstvo zdravstva</w:t>
      </w:r>
      <w:r>
        <w:t>, Ministarstvo poljo</w:t>
      </w:r>
      <w:r w:rsidR="0083008B">
        <w:t>privrede, Ministarstvo znanosti i obrazovanja</w:t>
      </w:r>
      <w:r>
        <w:t>) zajedno sa stručnim i znanstvenim institucijama iz domene humane medicine, veterinarske medicine</w:t>
      </w:r>
      <w:r w:rsidR="00CD14B7">
        <w:t xml:space="preserve">, </w:t>
      </w:r>
      <w:r>
        <w:t xml:space="preserve">gospodarstva te znanosti i obrazovanja. </w:t>
      </w:r>
      <w:r w:rsidR="003556CE">
        <w:t>Sve aktivnosti koordinirat će</w:t>
      </w:r>
      <w:r w:rsidRPr="003F60D7">
        <w:t xml:space="preserve"> ISKRA, koj</w:t>
      </w:r>
      <w:r w:rsidR="00816EE4">
        <w:t>a će objediniti godišnja izviješća nositelja i suradnika</w:t>
      </w:r>
      <w:r w:rsidRPr="003F60D7">
        <w:t xml:space="preserve"> o obavlj</w:t>
      </w:r>
      <w:r w:rsidR="00816EE4">
        <w:t>enim aktivnostima i rezultatima. ISKRA će izraditi završno programsko izviješće za razdoblje provedbe od 2017. – 2021. godine koje će Ministarstvo zdravstva dostaviti Vladi</w:t>
      </w:r>
      <w:r>
        <w:t xml:space="preserve"> Republike Hrvatske</w:t>
      </w:r>
      <w:r w:rsidR="00816EE4">
        <w:t xml:space="preserve"> na usvajanje</w:t>
      </w:r>
      <w:r>
        <w:t xml:space="preserve">.  </w:t>
      </w:r>
    </w:p>
    <w:p w:rsidR="007D4508" w:rsidRPr="00B12C2E" w:rsidRDefault="007D4508" w:rsidP="007D4508">
      <w:pPr>
        <w:jc w:val="both"/>
      </w:pPr>
    </w:p>
    <w:p w:rsidR="007D4508" w:rsidRPr="00D8766F" w:rsidRDefault="007D4508" w:rsidP="00422895">
      <w:pPr>
        <w:pStyle w:val="Naslov2"/>
      </w:pPr>
      <w:r>
        <w:br w:type="page"/>
      </w:r>
      <w:bookmarkStart w:id="13" w:name="_Toc430654023"/>
      <w:bookmarkStart w:id="14" w:name="_Toc498334035"/>
      <w:bookmarkStart w:id="15" w:name="_GoBack"/>
      <w:bookmarkEnd w:id="15"/>
      <w:r w:rsidR="00952A25">
        <w:t>5</w:t>
      </w:r>
      <w:r>
        <w:t xml:space="preserve">.1. </w:t>
      </w:r>
      <w:r>
        <w:tab/>
      </w:r>
      <w:r w:rsidRPr="00D8766F">
        <w:t>Praćenje otpornosti bakterija na antibiotike</w:t>
      </w:r>
      <w:bookmarkEnd w:id="13"/>
      <w:bookmarkEnd w:id="14"/>
    </w:p>
    <w:p w:rsidR="007D4508" w:rsidRPr="00D8766F" w:rsidRDefault="007D4508" w:rsidP="007D4508">
      <w:pPr>
        <w:jc w:val="both"/>
        <w:rPr>
          <w:b/>
          <w:sz w:val="28"/>
          <w:szCs w:val="28"/>
        </w:rPr>
      </w:pPr>
    </w:p>
    <w:p w:rsidR="007D4508" w:rsidRPr="00EB1DFF" w:rsidRDefault="00952A25" w:rsidP="00422895">
      <w:pPr>
        <w:pStyle w:val="Naslov3"/>
      </w:pPr>
      <w:bookmarkStart w:id="16" w:name="_Toc430653469"/>
      <w:bookmarkStart w:id="17" w:name="_Toc498334036"/>
      <w:r>
        <w:t>5.1.1.</w:t>
      </w:r>
      <w:r w:rsidR="00E50863">
        <w:t xml:space="preserve"> </w:t>
      </w:r>
      <w:r w:rsidR="007D4508" w:rsidRPr="00EB1DFF">
        <w:t>Praćenje otpornosti bakterija na antibiotike u području</w:t>
      </w:r>
      <w:r w:rsidR="00EB1DFF">
        <w:t xml:space="preserve"> humane</w:t>
      </w:r>
      <w:bookmarkEnd w:id="16"/>
      <w:r w:rsidR="00422895">
        <w:t xml:space="preserve"> </w:t>
      </w:r>
      <w:r w:rsidR="007D4508" w:rsidRPr="00EB1DFF">
        <w:t>medicine</w:t>
      </w:r>
      <w:bookmarkEnd w:id="17"/>
    </w:p>
    <w:p w:rsidR="007D4508" w:rsidRPr="00D8766F" w:rsidRDefault="007D4508" w:rsidP="007D4508">
      <w:pPr>
        <w:jc w:val="both"/>
        <w:rPr>
          <w:b/>
          <w:sz w:val="28"/>
          <w:szCs w:val="28"/>
        </w:rPr>
      </w:pPr>
    </w:p>
    <w:p w:rsidR="007D4508" w:rsidRDefault="00816EE4" w:rsidP="007D4508">
      <w:pPr>
        <w:jc w:val="both"/>
      </w:pPr>
      <w:r>
        <w:t xml:space="preserve">Nosioci aktivnosti praćenja otpornosti na antibiotike u Republici Hrvatskoj u prethodnom razdoblju </w:t>
      </w:r>
      <w:r w:rsidR="007D4508">
        <w:t xml:space="preserve">bili </w:t>
      </w:r>
      <w:r>
        <w:t xml:space="preserve">su </w:t>
      </w:r>
      <w:r w:rsidR="007D4508" w:rsidRPr="00D8766F">
        <w:t>Referentn</w:t>
      </w:r>
      <w:r w:rsidR="007D4508">
        <w:t>i</w:t>
      </w:r>
      <w:r w:rsidR="007D4508" w:rsidRPr="00D8766F">
        <w:t xml:space="preserve"> cent</w:t>
      </w:r>
      <w:r w:rsidR="007D4508">
        <w:t>a</w:t>
      </w:r>
      <w:r w:rsidR="007D4508" w:rsidRPr="00D8766F">
        <w:t>r</w:t>
      </w:r>
      <w:r>
        <w:t xml:space="preserve"> Ministarstva zdravstva</w:t>
      </w:r>
      <w:r w:rsidR="007D4508">
        <w:t xml:space="preserve"> </w:t>
      </w:r>
      <w:r w:rsidR="007D4508" w:rsidRPr="00D8766F">
        <w:t>za praćenje rezistencije bakterija na antibiotike i Odbor za praćenje reziste</w:t>
      </w:r>
      <w:r w:rsidR="007D4508">
        <w:t xml:space="preserve">ncije bakterija na antibiotike </w:t>
      </w:r>
      <w:r w:rsidR="007D4508" w:rsidRPr="00D8766F">
        <w:t>Akademij</w:t>
      </w:r>
      <w:r w:rsidR="007D4508">
        <w:t>e</w:t>
      </w:r>
      <w:r w:rsidR="007D4508" w:rsidRPr="00D8766F">
        <w:t xml:space="preserve"> medicinskih znanosti Hrvatske. </w:t>
      </w:r>
      <w:r w:rsidR="007D4508">
        <w:t>I u narednom razdoblju ove će institucije provoditi slijedeće aktivnosti:</w:t>
      </w:r>
    </w:p>
    <w:p w:rsidR="007D4508" w:rsidRDefault="007D4508" w:rsidP="007D4508">
      <w:pPr>
        <w:numPr>
          <w:ilvl w:val="0"/>
          <w:numId w:val="6"/>
        </w:numPr>
        <w:jc w:val="both"/>
      </w:pPr>
      <w:r>
        <w:t>Prikupljati podatke o stopama otpornosti rutinski izoliranih bakterija iz svih krajeva Hrvatske</w:t>
      </w:r>
    </w:p>
    <w:p w:rsidR="007D4508" w:rsidRDefault="007D4508" w:rsidP="007D4508">
      <w:pPr>
        <w:numPr>
          <w:ilvl w:val="0"/>
          <w:numId w:val="6"/>
        </w:numPr>
        <w:jc w:val="both"/>
      </w:pPr>
      <w:r>
        <w:t>Određivati mehanizme otpornosti na antibiotike kod epidemiološki značajnih izolata te izolata neuobičajenog ili rijetkog fenotipa</w:t>
      </w:r>
    </w:p>
    <w:p w:rsidR="007D4508" w:rsidRDefault="007D4508" w:rsidP="007D4508">
      <w:pPr>
        <w:numPr>
          <w:ilvl w:val="0"/>
          <w:numId w:val="6"/>
        </w:numPr>
        <w:jc w:val="both"/>
      </w:pPr>
      <w:r>
        <w:t>Prikupljati podatke o otpornosti invazivnih sojeva u skladu s europskim programom praćenja otpornosti na antibiotike (EARS-Net program ECDC-a)</w:t>
      </w:r>
    </w:p>
    <w:p w:rsidR="007D4508" w:rsidRDefault="007D4508" w:rsidP="007D4508">
      <w:pPr>
        <w:numPr>
          <w:ilvl w:val="0"/>
          <w:numId w:val="6"/>
        </w:numPr>
        <w:jc w:val="both"/>
      </w:pPr>
      <w:r>
        <w:t>Provoditi edukaciju o testiranju osjetljivosti bakterija na antibiotike u skladu s europskim standardima (European Committee on Antimicrobial Sensitivity Testing, EUCAST standards)</w:t>
      </w:r>
    </w:p>
    <w:p w:rsidR="007D4508" w:rsidRPr="00EA3CAC" w:rsidRDefault="007D4508" w:rsidP="007D4508">
      <w:pPr>
        <w:numPr>
          <w:ilvl w:val="0"/>
          <w:numId w:val="6"/>
        </w:numPr>
        <w:jc w:val="both"/>
        <w:rPr>
          <w:strike/>
        </w:rPr>
      </w:pPr>
      <w:r>
        <w:t xml:space="preserve">Jednom godišnje o rezultatima izvještavati </w:t>
      </w:r>
      <w:r w:rsidR="0083008B">
        <w:t>Ministarstvo zdravstva</w:t>
      </w:r>
      <w:r>
        <w:t xml:space="preserve">.  </w:t>
      </w:r>
      <w:r>
        <w:rPr>
          <w:strike/>
        </w:rPr>
        <w:t xml:space="preserve"> </w:t>
      </w:r>
    </w:p>
    <w:p w:rsidR="007D4508" w:rsidRPr="00D8766F" w:rsidRDefault="007D4508" w:rsidP="007D4508">
      <w:pPr>
        <w:jc w:val="both"/>
      </w:pPr>
    </w:p>
    <w:p w:rsidR="007D4508" w:rsidRPr="00D8766F" w:rsidRDefault="007D4508" w:rsidP="007D4508">
      <w:pPr>
        <w:jc w:val="both"/>
      </w:pPr>
      <w:r w:rsidRPr="00D8766F">
        <w:t xml:space="preserve">Praćenje otpornosti bakterija </w:t>
      </w:r>
      <w:r w:rsidRPr="00D8766F">
        <w:rPr>
          <w:lang w:eastAsia="en-US"/>
        </w:rPr>
        <w:t xml:space="preserve">na antibiotike je preduvjet za </w:t>
      </w:r>
      <w:r>
        <w:rPr>
          <w:lang w:eastAsia="en-US"/>
        </w:rPr>
        <w:t>uspješno obavljanje većine drugih aktivnosti predviđenih ovim programom</w:t>
      </w:r>
      <w:r w:rsidRPr="00D8766F">
        <w:t>. Rezultati praćenja</w:t>
      </w:r>
      <w:r>
        <w:t xml:space="preserve"> otpornosti bakterija na antibiotike u  Republici Hrvatskoj </w:t>
      </w:r>
      <w:r w:rsidRPr="00D8766F">
        <w:t xml:space="preserve"> omogu</w:t>
      </w:r>
      <w:r>
        <w:t>ć</w:t>
      </w:r>
      <w:r w:rsidRPr="00D8766F">
        <w:t>it će sljedeće:</w:t>
      </w:r>
    </w:p>
    <w:p w:rsidR="007D4508" w:rsidRDefault="007D4508" w:rsidP="007D4508">
      <w:pPr>
        <w:numPr>
          <w:ilvl w:val="0"/>
          <w:numId w:val="6"/>
        </w:numPr>
        <w:autoSpaceDE w:val="0"/>
        <w:autoSpaceDN w:val="0"/>
        <w:adjustRightInd w:val="0"/>
        <w:jc w:val="both"/>
        <w:rPr>
          <w:lang w:eastAsia="en-US"/>
        </w:rPr>
      </w:pPr>
      <w:r w:rsidRPr="00D8766F">
        <w:rPr>
          <w:lang w:eastAsia="en-US"/>
        </w:rPr>
        <w:t xml:space="preserve">Uočavanje kretanja </w:t>
      </w:r>
      <w:r>
        <w:rPr>
          <w:lang w:eastAsia="en-US"/>
        </w:rPr>
        <w:t xml:space="preserve">stopa </w:t>
      </w:r>
      <w:r w:rsidRPr="00D8766F">
        <w:rPr>
          <w:lang w:eastAsia="en-US"/>
        </w:rPr>
        <w:t>rezistencije</w:t>
      </w:r>
    </w:p>
    <w:p w:rsidR="007D4508" w:rsidRDefault="007D4508" w:rsidP="007D4508">
      <w:pPr>
        <w:numPr>
          <w:ilvl w:val="0"/>
          <w:numId w:val="6"/>
        </w:numPr>
        <w:autoSpaceDE w:val="0"/>
        <w:autoSpaceDN w:val="0"/>
        <w:adjustRightInd w:val="0"/>
        <w:jc w:val="both"/>
        <w:rPr>
          <w:lang w:eastAsia="en-US"/>
        </w:rPr>
      </w:pPr>
      <w:r>
        <w:rPr>
          <w:lang w:eastAsia="en-US"/>
        </w:rPr>
        <w:t>O</w:t>
      </w:r>
      <w:r w:rsidRPr="00D8766F">
        <w:rPr>
          <w:lang w:eastAsia="en-US"/>
        </w:rPr>
        <w:t xml:space="preserve">tkrivanje novih mehanizama rezistencije i pravovremeno suzbijanje </w:t>
      </w:r>
      <w:r>
        <w:rPr>
          <w:lang w:eastAsia="en-US"/>
        </w:rPr>
        <w:t>širenja sojeva s takvim mehanizmima rezistencije</w:t>
      </w:r>
    </w:p>
    <w:p w:rsidR="007D4508" w:rsidRDefault="007D4508" w:rsidP="007D4508">
      <w:pPr>
        <w:numPr>
          <w:ilvl w:val="0"/>
          <w:numId w:val="6"/>
        </w:numPr>
        <w:autoSpaceDE w:val="0"/>
        <w:autoSpaceDN w:val="0"/>
        <w:adjustRightInd w:val="0"/>
        <w:jc w:val="both"/>
        <w:rPr>
          <w:lang w:eastAsia="en-US"/>
        </w:rPr>
      </w:pPr>
      <w:r w:rsidRPr="00D8766F">
        <w:t>Korelaciju između razine otpornosti bakterija na antibiotike i potrošnje antibiotika u medicini</w:t>
      </w:r>
    </w:p>
    <w:p w:rsidR="007D4508" w:rsidRDefault="004D310D" w:rsidP="007D4508">
      <w:pPr>
        <w:numPr>
          <w:ilvl w:val="0"/>
          <w:numId w:val="6"/>
        </w:numPr>
        <w:autoSpaceDE w:val="0"/>
        <w:autoSpaceDN w:val="0"/>
        <w:adjustRightInd w:val="0"/>
        <w:jc w:val="both"/>
        <w:rPr>
          <w:lang w:eastAsia="en-US"/>
        </w:rPr>
      </w:pPr>
      <w:r>
        <w:t>Izradu</w:t>
      </w:r>
      <w:r w:rsidR="007D4508" w:rsidRPr="00D8766F">
        <w:t xml:space="preserve"> </w:t>
      </w:r>
      <w:r w:rsidR="007D4508" w:rsidRPr="00D8766F">
        <w:rPr>
          <w:lang w:eastAsia="en-US"/>
        </w:rPr>
        <w:t xml:space="preserve">smjernica o racionalnoj primjeni antibiotika koji se </w:t>
      </w:r>
      <w:r w:rsidR="007D4508">
        <w:rPr>
          <w:lang w:eastAsia="en-US"/>
        </w:rPr>
        <w:t>temelje</w:t>
      </w:r>
      <w:r w:rsidR="007D4508" w:rsidRPr="00D8766F">
        <w:rPr>
          <w:lang w:eastAsia="en-US"/>
        </w:rPr>
        <w:t xml:space="preserve"> na nacionaln</w:t>
      </w:r>
      <w:r w:rsidR="007D4508">
        <w:rPr>
          <w:lang w:eastAsia="en-US"/>
        </w:rPr>
        <w:t>im</w:t>
      </w:r>
      <w:r w:rsidR="007D4508" w:rsidRPr="00D8766F">
        <w:rPr>
          <w:lang w:eastAsia="en-US"/>
        </w:rPr>
        <w:t xml:space="preserve"> poda</w:t>
      </w:r>
      <w:r w:rsidR="007D4508">
        <w:rPr>
          <w:lang w:eastAsia="en-US"/>
        </w:rPr>
        <w:t>cima</w:t>
      </w:r>
      <w:r w:rsidR="007D4508" w:rsidRPr="00D8766F">
        <w:rPr>
          <w:lang w:eastAsia="en-US"/>
        </w:rPr>
        <w:t xml:space="preserve"> o razini otpornosti na pojedine antibiotike</w:t>
      </w:r>
    </w:p>
    <w:p w:rsidR="007D4508" w:rsidRDefault="007D4508" w:rsidP="007D4508">
      <w:pPr>
        <w:numPr>
          <w:ilvl w:val="0"/>
          <w:numId w:val="6"/>
        </w:numPr>
        <w:autoSpaceDE w:val="0"/>
        <w:autoSpaceDN w:val="0"/>
        <w:adjustRightInd w:val="0"/>
        <w:jc w:val="both"/>
        <w:rPr>
          <w:lang w:eastAsia="en-US"/>
        </w:rPr>
      </w:pPr>
      <w:r w:rsidRPr="00D8766F">
        <w:rPr>
          <w:lang w:eastAsia="en-US"/>
        </w:rPr>
        <w:t>Praćenje učinka pojedinih intervencija u kontroli širenja otpornosti bakterija na antibiotike</w:t>
      </w:r>
    </w:p>
    <w:p w:rsidR="007D4508" w:rsidRPr="00D8766F" w:rsidRDefault="007D4508" w:rsidP="007D4508">
      <w:pPr>
        <w:numPr>
          <w:ilvl w:val="0"/>
          <w:numId w:val="6"/>
        </w:numPr>
        <w:autoSpaceDE w:val="0"/>
        <w:autoSpaceDN w:val="0"/>
        <w:adjustRightInd w:val="0"/>
        <w:jc w:val="both"/>
        <w:rPr>
          <w:lang w:eastAsia="en-US"/>
        </w:rPr>
      </w:pPr>
      <w:r w:rsidRPr="00D8766F">
        <w:rPr>
          <w:lang w:eastAsia="en-US"/>
        </w:rPr>
        <w:t>Razmjenu podataka o razini otpornosti na antibiotike s drugim zemljama Europe i svijeta.</w:t>
      </w:r>
    </w:p>
    <w:p w:rsidR="007D4508" w:rsidRDefault="007D4508" w:rsidP="007D4508">
      <w:pPr>
        <w:autoSpaceDE w:val="0"/>
        <w:autoSpaceDN w:val="0"/>
        <w:adjustRightInd w:val="0"/>
        <w:jc w:val="both"/>
      </w:pPr>
      <w:r>
        <w:rPr>
          <w:lang w:eastAsia="en-US"/>
        </w:rPr>
        <w:t xml:space="preserve">U navedenom </w:t>
      </w:r>
      <w:r w:rsidRPr="004503DF">
        <w:rPr>
          <w:lang w:eastAsia="en-US"/>
        </w:rPr>
        <w:t xml:space="preserve">razdoblju potrebno </w:t>
      </w:r>
      <w:r w:rsidR="00816EE4" w:rsidRPr="004503DF">
        <w:rPr>
          <w:lang w:eastAsia="en-US"/>
        </w:rPr>
        <w:t xml:space="preserve">je unaprijediti </w:t>
      </w:r>
      <w:r w:rsidRPr="004503DF">
        <w:t>informacijsku i komunikacijsku</w:t>
      </w:r>
      <w:r>
        <w:t xml:space="preserve"> infrastrukturu kako bi se rezultati praćenja otpornosti što lakše prikupljali, obrađivali te bili brže dostupni.</w:t>
      </w:r>
    </w:p>
    <w:p w:rsidR="007D4508" w:rsidRPr="00D8766F" w:rsidRDefault="007D4508" w:rsidP="007D4508">
      <w:pPr>
        <w:autoSpaceDE w:val="0"/>
        <w:autoSpaceDN w:val="0"/>
        <w:adjustRightInd w:val="0"/>
        <w:jc w:val="both"/>
        <w:rPr>
          <w:lang w:eastAsia="en-US"/>
        </w:rPr>
      </w:pPr>
    </w:p>
    <w:p w:rsidR="007D4508" w:rsidRPr="00EB1DFF" w:rsidRDefault="00952A25" w:rsidP="00422895">
      <w:pPr>
        <w:pStyle w:val="Naslov3"/>
      </w:pPr>
      <w:bookmarkStart w:id="18" w:name="_Toc430653470"/>
      <w:bookmarkStart w:id="19" w:name="_Toc498334037"/>
      <w:r>
        <w:t>5.1.2.</w:t>
      </w:r>
      <w:r w:rsidR="007D4508" w:rsidRPr="00EB1DFF">
        <w:t xml:space="preserve"> Praćenje otpornosti bakterija na antibiotike u području</w:t>
      </w:r>
      <w:bookmarkEnd w:id="18"/>
      <w:r w:rsidR="00422895">
        <w:t xml:space="preserve">  </w:t>
      </w:r>
      <w:bookmarkStart w:id="20" w:name="_Toc430653471"/>
      <w:r w:rsidR="007D4508" w:rsidRPr="00EB1DFF">
        <w:t>veterinarske medicine</w:t>
      </w:r>
      <w:bookmarkEnd w:id="19"/>
      <w:bookmarkEnd w:id="20"/>
    </w:p>
    <w:p w:rsidR="007D4508" w:rsidRPr="001363BB" w:rsidRDefault="007D4508" w:rsidP="007D4508">
      <w:pPr>
        <w:jc w:val="both"/>
        <w:rPr>
          <w:sz w:val="28"/>
          <w:szCs w:val="28"/>
          <w:lang w:eastAsia="en-US"/>
        </w:rPr>
      </w:pPr>
    </w:p>
    <w:p w:rsidR="007D4508" w:rsidRDefault="0083008B" w:rsidP="007D4508">
      <w:pPr>
        <w:autoSpaceDE w:val="0"/>
        <w:autoSpaceDN w:val="0"/>
        <w:adjustRightInd w:val="0"/>
        <w:jc w:val="both"/>
      </w:pPr>
      <w:r>
        <w:t>Ministarstvo zdravstva</w:t>
      </w:r>
      <w:r w:rsidR="007D4508" w:rsidRPr="00D8766F">
        <w:t xml:space="preserve"> </w:t>
      </w:r>
      <w:r w:rsidR="007D4508">
        <w:t>i</w:t>
      </w:r>
      <w:r w:rsidR="007D4508" w:rsidRPr="00D8766F">
        <w:t xml:space="preserve"> Minista</w:t>
      </w:r>
      <w:r w:rsidR="007D4508">
        <w:t>rstvo</w:t>
      </w:r>
      <w:r w:rsidR="007D4508" w:rsidRPr="00D8766F">
        <w:t xml:space="preserve"> poljoprivrede</w:t>
      </w:r>
      <w:r w:rsidR="007D4508">
        <w:t xml:space="preserve"> razmjenjuju</w:t>
      </w:r>
      <w:r w:rsidR="007D4508" w:rsidRPr="00D8766F">
        <w:t xml:space="preserve"> podatke o razini otpornosti bakterija na antib</w:t>
      </w:r>
      <w:r w:rsidR="007D4508">
        <w:t>iotike među uzročnicima zoonoza</w:t>
      </w:r>
      <w:r w:rsidR="007D4508" w:rsidRPr="00D8766F">
        <w:t xml:space="preserve"> te bakterija koje čine fiziološku </w:t>
      </w:r>
      <w:r w:rsidR="007D4508">
        <w:t>mikrobiotu</w:t>
      </w:r>
      <w:r w:rsidR="007D4508" w:rsidRPr="00D8766F">
        <w:t xml:space="preserve"> životinja i predstavljaju rezervoar potencijalnih uzročnika</w:t>
      </w:r>
      <w:r w:rsidR="007D4508">
        <w:t xml:space="preserve"> bolesti u ljudi. Na temelju tih podataka ISKRA može dati inicijativu za </w:t>
      </w:r>
      <w:r w:rsidR="007D4508" w:rsidRPr="00D8766F">
        <w:t>istraživanja o odnosu razine otpornosti bakterija na antibiotike među uzročnicima bolesti u ljudi i potrošnje antibiotika u veterini, što će dovesti do racionalnije potrošnje antibio</w:t>
      </w:r>
      <w:r w:rsidR="007D4508">
        <w:t xml:space="preserve">tika u veterinarskoj struci </w:t>
      </w:r>
      <w:r w:rsidR="007D4508" w:rsidRPr="00D8766F">
        <w:t xml:space="preserve"> te </w:t>
      </w:r>
      <w:r w:rsidR="007D4508">
        <w:t>primarnoj proizvodnji kao i kontroli</w:t>
      </w:r>
      <w:r w:rsidR="007D4508" w:rsidRPr="00D8766F">
        <w:t xml:space="preserve"> širenja otpornosti bakterija na antibiotike u fiziološkoj flori životinja.</w:t>
      </w:r>
    </w:p>
    <w:p w:rsidR="00816EE4" w:rsidRDefault="00816EE4">
      <w:pPr>
        <w:pStyle w:val="Naslov3"/>
      </w:pPr>
    </w:p>
    <w:p w:rsidR="003C48B9" w:rsidRPr="00AA4839" w:rsidRDefault="003C48B9">
      <w:pPr>
        <w:pStyle w:val="Naslov3"/>
      </w:pPr>
      <w:bookmarkStart w:id="21" w:name="_Toc498334038"/>
      <w:r w:rsidRPr="00AA4839">
        <w:t>5.1.3. Praćenje otpornosti bakterija na antibiotike u hrani životinjskog podrijetla</w:t>
      </w:r>
      <w:bookmarkEnd w:id="21"/>
      <w:r w:rsidRPr="00AA4839">
        <w:t xml:space="preserve"> </w:t>
      </w:r>
    </w:p>
    <w:p w:rsidR="003C48B9" w:rsidRPr="00D8766F" w:rsidRDefault="003C48B9" w:rsidP="007D4508">
      <w:pPr>
        <w:autoSpaceDE w:val="0"/>
        <w:autoSpaceDN w:val="0"/>
        <w:adjustRightInd w:val="0"/>
        <w:jc w:val="both"/>
      </w:pPr>
    </w:p>
    <w:p w:rsidR="003C48B9" w:rsidRPr="008C100C" w:rsidRDefault="003C48B9" w:rsidP="008C100C">
      <w:pPr>
        <w:autoSpaceDE w:val="0"/>
        <w:autoSpaceDN w:val="0"/>
        <w:adjustRightInd w:val="0"/>
        <w:jc w:val="both"/>
        <w:rPr>
          <w:rFonts w:eastAsiaTheme="minorHAnsi"/>
          <w:color w:val="454142"/>
          <w:lang w:eastAsia="en-US"/>
        </w:rPr>
      </w:pPr>
      <w:r w:rsidRPr="008C100C">
        <w:rPr>
          <w:rFonts w:eastAsiaTheme="minorHAnsi"/>
          <w:color w:val="2D2728"/>
          <w:lang w:eastAsia="en-US"/>
        </w:rPr>
        <w:t>Mini</w:t>
      </w:r>
      <w:r w:rsidRPr="008C100C">
        <w:rPr>
          <w:rFonts w:eastAsiaTheme="minorHAnsi"/>
          <w:color w:val="454142"/>
          <w:lang w:eastAsia="en-US"/>
        </w:rPr>
        <w:t>s</w:t>
      </w:r>
      <w:r w:rsidRPr="008C100C">
        <w:rPr>
          <w:rFonts w:eastAsiaTheme="minorHAnsi"/>
          <w:color w:val="2D2728"/>
          <w:lang w:eastAsia="en-US"/>
        </w:rPr>
        <w:t>t</w:t>
      </w:r>
      <w:r w:rsidRPr="008C100C">
        <w:rPr>
          <w:rFonts w:eastAsiaTheme="minorHAnsi"/>
          <w:color w:val="454142"/>
          <w:lang w:eastAsia="en-US"/>
        </w:rPr>
        <w:t>ar</w:t>
      </w:r>
      <w:r w:rsidRPr="008C100C">
        <w:rPr>
          <w:rFonts w:eastAsiaTheme="minorHAnsi"/>
          <w:color w:val="2D2728"/>
          <w:lang w:eastAsia="en-US"/>
        </w:rPr>
        <w:t>st</w:t>
      </w:r>
      <w:r w:rsidRPr="008C100C">
        <w:rPr>
          <w:rFonts w:eastAsiaTheme="minorHAnsi"/>
          <w:color w:val="454142"/>
          <w:lang w:eastAsia="en-US"/>
        </w:rPr>
        <w:t xml:space="preserve">vo </w:t>
      </w:r>
      <w:r w:rsidRPr="008C100C">
        <w:rPr>
          <w:rFonts w:eastAsiaTheme="minorHAnsi"/>
          <w:color w:val="2D2728"/>
          <w:lang w:eastAsia="en-US"/>
        </w:rPr>
        <w:t>p</w:t>
      </w:r>
      <w:r w:rsidRPr="008C100C">
        <w:rPr>
          <w:rFonts w:eastAsiaTheme="minorHAnsi"/>
          <w:color w:val="454142"/>
          <w:lang w:eastAsia="en-US"/>
        </w:rPr>
        <w:t>o</w:t>
      </w:r>
      <w:r w:rsidRPr="008C100C">
        <w:rPr>
          <w:rFonts w:eastAsiaTheme="minorHAnsi"/>
          <w:color w:val="2D2728"/>
          <w:lang w:eastAsia="en-US"/>
        </w:rPr>
        <w:t>lj</w:t>
      </w:r>
      <w:r w:rsidRPr="008C100C">
        <w:rPr>
          <w:rFonts w:eastAsiaTheme="minorHAnsi"/>
          <w:color w:val="454142"/>
          <w:lang w:eastAsia="en-US"/>
        </w:rPr>
        <w:t>op</w:t>
      </w:r>
      <w:r w:rsidRPr="008C100C">
        <w:rPr>
          <w:rFonts w:eastAsiaTheme="minorHAnsi"/>
          <w:color w:val="2D2728"/>
          <w:lang w:eastAsia="en-US"/>
        </w:rPr>
        <w:t>r</w:t>
      </w:r>
      <w:r w:rsidRPr="008C100C">
        <w:rPr>
          <w:rFonts w:eastAsiaTheme="minorHAnsi"/>
          <w:color w:val="454142"/>
          <w:lang w:eastAsia="en-US"/>
        </w:rPr>
        <w:t>iv</w:t>
      </w:r>
      <w:r w:rsidRPr="008C100C">
        <w:rPr>
          <w:rFonts w:eastAsiaTheme="minorHAnsi"/>
          <w:color w:val="2D2728"/>
          <w:lang w:eastAsia="en-US"/>
        </w:rPr>
        <w:t>r</w:t>
      </w:r>
      <w:r w:rsidRPr="008C100C">
        <w:rPr>
          <w:rFonts w:eastAsiaTheme="minorHAnsi"/>
          <w:color w:val="454142"/>
          <w:lang w:eastAsia="en-US"/>
        </w:rPr>
        <w:t>e</w:t>
      </w:r>
      <w:r w:rsidRPr="008C100C">
        <w:rPr>
          <w:rFonts w:eastAsiaTheme="minorHAnsi"/>
          <w:color w:val="2D2728"/>
          <w:lang w:eastAsia="en-US"/>
        </w:rPr>
        <w:t>d</w:t>
      </w:r>
      <w:r w:rsidRPr="008C100C">
        <w:rPr>
          <w:rFonts w:eastAsiaTheme="minorHAnsi"/>
          <w:color w:val="454142"/>
          <w:lang w:eastAsia="en-US"/>
        </w:rPr>
        <w:t>e</w:t>
      </w:r>
      <w:r w:rsidR="00970D1A">
        <w:rPr>
          <w:rFonts w:eastAsiaTheme="minorHAnsi"/>
          <w:color w:val="625F5F"/>
          <w:lang w:eastAsia="en-US"/>
        </w:rPr>
        <w:t xml:space="preserve"> </w:t>
      </w:r>
      <w:r w:rsidRPr="008C100C">
        <w:rPr>
          <w:rFonts w:eastAsiaTheme="minorHAnsi"/>
          <w:color w:val="2D2728"/>
          <w:lang w:eastAsia="en-US"/>
        </w:rPr>
        <w:t xml:space="preserve">u </w:t>
      </w:r>
      <w:r w:rsidRPr="008C100C">
        <w:rPr>
          <w:rFonts w:eastAsiaTheme="minorHAnsi"/>
          <w:color w:val="454142"/>
          <w:lang w:eastAsia="en-US"/>
        </w:rPr>
        <w:t>o</w:t>
      </w:r>
      <w:r w:rsidRPr="008C100C">
        <w:rPr>
          <w:rFonts w:eastAsiaTheme="minorHAnsi"/>
          <w:color w:val="2D2728"/>
          <w:lang w:eastAsia="en-US"/>
        </w:rPr>
        <w:t>k</w:t>
      </w:r>
      <w:r w:rsidRPr="008C100C">
        <w:rPr>
          <w:rFonts w:eastAsiaTheme="minorHAnsi"/>
          <w:color w:val="454142"/>
          <w:lang w:eastAsia="en-US"/>
        </w:rPr>
        <w:t>v</w:t>
      </w:r>
      <w:r w:rsidRPr="008C100C">
        <w:rPr>
          <w:rFonts w:eastAsiaTheme="minorHAnsi"/>
          <w:color w:val="2D2728"/>
          <w:lang w:eastAsia="en-US"/>
        </w:rPr>
        <w:t xml:space="preserve">iru </w:t>
      </w:r>
      <w:r w:rsidRPr="008C100C">
        <w:rPr>
          <w:rFonts w:eastAsiaTheme="minorHAnsi"/>
          <w:color w:val="454142"/>
          <w:lang w:eastAsia="en-US"/>
        </w:rPr>
        <w:t>svo</w:t>
      </w:r>
      <w:r w:rsidRPr="008C100C">
        <w:rPr>
          <w:rFonts w:eastAsiaTheme="minorHAnsi"/>
          <w:color w:val="2D2728"/>
          <w:lang w:eastAsia="en-US"/>
        </w:rPr>
        <w:t>j</w:t>
      </w:r>
      <w:r w:rsidRPr="008C100C">
        <w:rPr>
          <w:rFonts w:eastAsiaTheme="minorHAnsi"/>
          <w:color w:val="454142"/>
          <w:lang w:eastAsia="en-US"/>
        </w:rPr>
        <w:t xml:space="preserve">e </w:t>
      </w:r>
      <w:r w:rsidRPr="008C100C">
        <w:rPr>
          <w:rFonts w:eastAsiaTheme="minorHAnsi"/>
          <w:color w:val="2D2728"/>
          <w:lang w:eastAsia="en-US"/>
        </w:rPr>
        <w:t>nadl</w:t>
      </w:r>
      <w:r w:rsidRPr="008C100C">
        <w:rPr>
          <w:rFonts w:eastAsiaTheme="minorHAnsi"/>
          <w:color w:val="454142"/>
          <w:lang w:eastAsia="en-US"/>
        </w:rPr>
        <w:t>e</w:t>
      </w:r>
      <w:r w:rsidRPr="008C100C">
        <w:rPr>
          <w:rFonts w:eastAsiaTheme="minorHAnsi"/>
          <w:color w:val="2D2728"/>
          <w:lang w:eastAsia="en-US"/>
        </w:rPr>
        <w:t>žn</w:t>
      </w:r>
      <w:r w:rsidRPr="008C100C">
        <w:rPr>
          <w:rFonts w:eastAsiaTheme="minorHAnsi"/>
          <w:color w:val="454142"/>
          <w:lang w:eastAsia="en-US"/>
        </w:rPr>
        <w:t>os</w:t>
      </w:r>
      <w:r w:rsidRPr="008C100C">
        <w:rPr>
          <w:rFonts w:eastAsiaTheme="minorHAnsi"/>
          <w:color w:val="2D2728"/>
          <w:lang w:eastAsia="en-US"/>
        </w:rPr>
        <w:t>ti pr</w:t>
      </w:r>
      <w:r w:rsidRPr="008C100C">
        <w:rPr>
          <w:rFonts w:eastAsiaTheme="minorHAnsi"/>
          <w:color w:val="454142"/>
          <w:lang w:eastAsia="en-US"/>
        </w:rPr>
        <w:t>ovo</w:t>
      </w:r>
      <w:r w:rsidRPr="008C100C">
        <w:rPr>
          <w:rFonts w:eastAsiaTheme="minorHAnsi"/>
          <w:color w:val="2D2728"/>
          <w:lang w:eastAsia="en-US"/>
        </w:rPr>
        <w:t xml:space="preserve">di i </w:t>
      </w:r>
      <w:r w:rsidRPr="008C100C">
        <w:rPr>
          <w:rFonts w:eastAsia="HiddenHorzOCR"/>
          <w:color w:val="2D2728"/>
          <w:lang w:eastAsia="en-US"/>
        </w:rPr>
        <w:t>financira</w:t>
      </w:r>
      <w:r w:rsidRPr="008C100C">
        <w:rPr>
          <w:rFonts w:eastAsiaTheme="minorHAnsi"/>
          <w:color w:val="454142"/>
          <w:lang w:eastAsia="en-US"/>
        </w:rPr>
        <w:t xml:space="preserve"> </w:t>
      </w:r>
      <w:r w:rsidRPr="008C100C">
        <w:rPr>
          <w:rFonts w:eastAsiaTheme="minorHAnsi"/>
          <w:color w:val="2D2728"/>
          <w:lang w:eastAsia="en-US"/>
        </w:rPr>
        <w:t>pr</w:t>
      </w:r>
      <w:r w:rsidRPr="008C100C">
        <w:rPr>
          <w:rFonts w:eastAsiaTheme="minorHAnsi"/>
          <w:color w:val="454142"/>
          <w:lang w:eastAsia="en-US"/>
        </w:rPr>
        <w:t>e</w:t>
      </w:r>
      <w:r w:rsidRPr="008C100C">
        <w:rPr>
          <w:rFonts w:eastAsiaTheme="minorHAnsi"/>
          <w:color w:val="2D2728"/>
          <w:lang w:eastAsia="en-US"/>
        </w:rPr>
        <w:t>tr</w:t>
      </w:r>
      <w:r w:rsidRPr="008C100C">
        <w:rPr>
          <w:rFonts w:eastAsiaTheme="minorHAnsi"/>
          <w:color w:val="454142"/>
          <w:lang w:eastAsia="en-US"/>
        </w:rPr>
        <w:t xml:space="preserve">age </w:t>
      </w:r>
      <w:r w:rsidRPr="008C100C">
        <w:rPr>
          <w:rFonts w:eastAsiaTheme="minorHAnsi"/>
          <w:color w:val="2D2728"/>
          <w:lang w:eastAsia="en-US"/>
        </w:rPr>
        <w:t>hran</w:t>
      </w:r>
      <w:r w:rsidRPr="008C100C">
        <w:rPr>
          <w:rFonts w:eastAsiaTheme="minorHAnsi"/>
          <w:color w:val="454142"/>
          <w:lang w:eastAsia="en-US"/>
        </w:rPr>
        <w:t>e ž</w:t>
      </w:r>
      <w:r w:rsidRPr="008C100C">
        <w:rPr>
          <w:rFonts w:eastAsiaTheme="minorHAnsi"/>
          <w:color w:val="2D2728"/>
          <w:lang w:eastAsia="en-US"/>
        </w:rPr>
        <w:t>i</w:t>
      </w:r>
      <w:r w:rsidRPr="008C100C">
        <w:rPr>
          <w:rFonts w:eastAsiaTheme="minorHAnsi"/>
          <w:color w:val="454142"/>
          <w:lang w:eastAsia="en-US"/>
        </w:rPr>
        <w:t>vo</w:t>
      </w:r>
      <w:r w:rsidRPr="008C100C">
        <w:rPr>
          <w:rFonts w:eastAsiaTheme="minorHAnsi"/>
          <w:color w:val="2D2728"/>
          <w:lang w:eastAsia="en-US"/>
        </w:rPr>
        <w:t>tinj</w:t>
      </w:r>
      <w:r w:rsidRPr="008C100C">
        <w:rPr>
          <w:rFonts w:eastAsiaTheme="minorHAnsi"/>
          <w:color w:val="454142"/>
          <w:lang w:eastAsia="en-US"/>
        </w:rPr>
        <w:t>s</w:t>
      </w:r>
      <w:r w:rsidRPr="008C100C">
        <w:rPr>
          <w:rFonts w:eastAsiaTheme="minorHAnsi"/>
          <w:color w:val="2D2728"/>
          <w:lang w:eastAsia="en-US"/>
        </w:rPr>
        <w:t>ko</w:t>
      </w:r>
      <w:r w:rsidRPr="008C100C">
        <w:rPr>
          <w:rFonts w:eastAsiaTheme="minorHAnsi"/>
          <w:color w:val="454142"/>
          <w:lang w:eastAsia="en-US"/>
        </w:rPr>
        <w:t xml:space="preserve">g </w:t>
      </w:r>
      <w:r w:rsidRPr="008C100C">
        <w:rPr>
          <w:rFonts w:eastAsiaTheme="minorHAnsi"/>
          <w:color w:val="2D2728"/>
          <w:lang w:eastAsia="en-US"/>
        </w:rPr>
        <w:t>p</w:t>
      </w:r>
      <w:r w:rsidRPr="008C100C">
        <w:rPr>
          <w:rFonts w:eastAsiaTheme="minorHAnsi"/>
          <w:color w:val="454142"/>
          <w:lang w:eastAsia="en-US"/>
        </w:rPr>
        <w:t>o</w:t>
      </w:r>
      <w:r w:rsidRPr="008C100C">
        <w:rPr>
          <w:rFonts w:eastAsiaTheme="minorHAnsi"/>
          <w:color w:val="2D2728"/>
          <w:lang w:eastAsia="en-US"/>
        </w:rPr>
        <w:t xml:space="preserve">drijetla </w:t>
      </w:r>
      <w:r w:rsidRPr="008C100C">
        <w:rPr>
          <w:rFonts w:eastAsiaTheme="minorHAnsi"/>
          <w:color w:val="454142"/>
          <w:lang w:eastAsia="en-US"/>
        </w:rPr>
        <w:t>s</w:t>
      </w:r>
      <w:r w:rsidRPr="008C100C">
        <w:rPr>
          <w:rFonts w:eastAsiaTheme="minorHAnsi"/>
          <w:color w:val="2D2728"/>
          <w:lang w:eastAsia="en-US"/>
        </w:rPr>
        <w:t>ukladn</w:t>
      </w:r>
      <w:r w:rsidRPr="008C100C">
        <w:rPr>
          <w:rFonts w:eastAsiaTheme="minorHAnsi"/>
          <w:color w:val="454142"/>
          <w:lang w:eastAsia="en-US"/>
        </w:rPr>
        <w:t xml:space="preserve">o </w:t>
      </w:r>
      <w:r w:rsidRPr="008C100C">
        <w:rPr>
          <w:rFonts w:eastAsiaTheme="minorHAnsi"/>
          <w:color w:val="2D2728"/>
          <w:lang w:eastAsia="en-US"/>
        </w:rPr>
        <w:t>Odluci K</w:t>
      </w:r>
      <w:r w:rsidRPr="008C100C">
        <w:rPr>
          <w:rFonts w:eastAsiaTheme="minorHAnsi"/>
          <w:color w:val="454142"/>
          <w:lang w:eastAsia="en-US"/>
        </w:rPr>
        <w:t>o</w:t>
      </w:r>
      <w:r w:rsidRPr="008C100C">
        <w:rPr>
          <w:rFonts w:eastAsiaTheme="minorHAnsi"/>
          <w:color w:val="180F11"/>
          <w:lang w:eastAsia="en-US"/>
        </w:rPr>
        <w:t>mi</w:t>
      </w:r>
      <w:r w:rsidRPr="008C100C">
        <w:rPr>
          <w:rFonts w:eastAsiaTheme="minorHAnsi"/>
          <w:color w:val="454142"/>
          <w:lang w:eastAsia="en-US"/>
        </w:rPr>
        <w:t>s</w:t>
      </w:r>
      <w:r w:rsidRPr="008C100C">
        <w:rPr>
          <w:rFonts w:eastAsiaTheme="minorHAnsi"/>
          <w:color w:val="2D2728"/>
          <w:lang w:eastAsia="en-US"/>
        </w:rPr>
        <w:t>ij</w:t>
      </w:r>
      <w:r w:rsidRPr="008C100C">
        <w:rPr>
          <w:rFonts w:eastAsiaTheme="minorHAnsi"/>
          <w:color w:val="454142"/>
          <w:lang w:eastAsia="en-US"/>
        </w:rPr>
        <w:t>e 6</w:t>
      </w:r>
      <w:r w:rsidRPr="008C100C">
        <w:rPr>
          <w:rFonts w:eastAsiaTheme="minorHAnsi"/>
          <w:color w:val="2D2728"/>
          <w:lang w:eastAsia="en-US"/>
        </w:rPr>
        <w:t>5</w:t>
      </w:r>
      <w:r w:rsidRPr="008C100C">
        <w:rPr>
          <w:rFonts w:eastAsiaTheme="minorHAnsi"/>
          <w:color w:val="454142"/>
          <w:lang w:eastAsia="en-US"/>
        </w:rPr>
        <w:t>2</w:t>
      </w:r>
      <w:r w:rsidRPr="008C100C">
        <w:rPr>
          <w:rFonts w:eastAsiaTheme="minorHAnsi"/>
          <w:color w:val="736E6F"/>
          <w:lang w:eastAsia="en-US"/>
        </w:rPr>
        <w:t>/</w:t>
      </w:r>
      <w:r w:rsidRPr="008C100C">
        <w:rPr>
          <w:rFonts w:eastAsiaTheme="minorHAnsi"/>
          <w:color w:val="2D2728"/>
          <w:lang w:eastAsia="en-US"/>
        </w:rPr>
        <w:t>2013 od 1</w:t>
      </w:r>
      <w:r w:rsidRPr="008C100C">
        <w:rPr>
          <w:rFonts w:eastAsiaTheme="minorHAnsi"/>
          <w:color w:val="454142"/>
          <w:lang w:eastAsia="en-US"/>
        </w:rPr>
        <w:t>2</w:t>
      </w:r>
      <w:r w:rsidR="004D310D">
        <w:rPr>
          <w:rFonts w:eastAsiaTheme="minorHAnsi"/>
          <w:color w:val="454142"/>
          <w:lang w:eastAsia="en-US"/>
        </w:rPr>
        <w:t>.</w:t>
      </w:r>
      <w:r w:rsidRPr="008C100C">
        <w:rPr>
          <w:rFonts w:eastAsiaTheme="minorHAnsi"/>
          <w:color w:val="454142"/>
          <w:lang w:eastAsia="en-US"/>
        </w:rPr>
        <w:t xml:space="preserve"> </w:t>
      </w:r>
      <w:r w:rsidRPr="008C100C">
        <w:rPr>
          <w:rFonts w:eastAsiaTheme="minorHAnsi"/>
          <w:color w:val="625F5F"/>
          <w:lang w:eastAsia="en-US"/>
        </w:rPr>
        <w:t>s</w:t>
      </w:r>
      <w:r w:rsidRPr="008C100C">
        <w:rPr>
          <w:rFonts w:eastAsiaTheme="minorHAnsi"/>
          <w:color w:val="2D2728"/>
          <w:lang w:eastAsia="en-US"/>
        </w:rPr>
        <w:t>tud</w:t>
      </w:r>
      <w:r w:rsidRPr="008C100C">
        <w:rPr>
          <w:rFonts w:eastAsiaTheme="minorHAnsi"/>
          <w:color w:val="454142"/>
          <w:lang w:eastAsia="en-US"/>
        </w:rPr>
        <w:t>e</w:t>
      </w:r>
      <w:r w:rsidRPr="008C100C">
        <w:rPr>
          <w:rFonts w:eastAsiaTheme="minorHAnsi"/>
          <w:color w:val="2D2728"/>
          <w:lang w:eastAsia="en-US"/>
        </w:rPr>
        <w:t>n</w:t>
      </w:r>
      <w:r w:rsidRPr="008C100C">
        <w:rPr>
          <w:rFonts w:eastAsiaTheme="minorHAnsi"/>
          <w:color w:val="454142"/>
          <w:lang w:eastAsia="en-US"/>
        </w:rPr>
        <w:t>og</w:t>
      </w:r>
      <w:r w:rsidRPr="008C100C">
        <w:rPr>
          <w:rFonts w:eastAsiaTheme="minorHAnsi"/>
          <w:color w:val="2D2728"/>
          <w:lang w:eastAsia="en-US"/>
        </w:rPr>
        <w:t xml:space="preserve">a </w:t>
      </w:r>
      <w:r w:rsidRPr="008C100C">
        <w:rPr>
          <w:rFonts w:eastAsiaTheme="minorHAnsi"/>
          <w:color w:val="454142"/>
          <w:lang w:eastAsia="en-US"/>
        </w:rPr>
        <w:t>2</w:t>
      </w:r>
      <w:r w:rsidRPr="008C100C">
        <w:rPr>
          <w:rFonts w:eastAsiaTheme="minorHAnsi"/>
          <w:color w:val="2D2728"/>
          <w:lang w:eastAsia="en-US"/>
        </w:rPr>
        <w:t>01</w:t>
      </w:r>
      <w:r w:rsidRPr="008C100C">
        <w:rPr>
          <w:rFonts w:eastAsiaTheme="minorHAnsi"/>
          <w:color w:val="454142"/>
          <w:lang w:eastAsia="en-US"/>
        </w:rPr>
        <w:t xml:space="preserve">3. godine o </w:t>
      </w:r>
      <w:r w:rsidRPr="008C100C">
        <w:rPr>
          <w:rFonts w:eastAsiaTheme="minorHAnsi"/>
          <w:color w:val="2D2728"/>
          <w:lang w:eastAsia="en-US"/>
        </w:rPr>
        <w:t>pr</w:t>
      </w:r>
      <w:r w:rsidRPr="008C100C">
        <w:rPr>
          <w:rFonts w:eastAsiaTheme="minorHAnsi"/>
          <w:color w:val="454142"/>
          <w:lang w:eastAsia="en-US"/>
        </w:rPr>
        <w:t>aće</w:t>
      </w:r>
      <w:r w:rsidRPr="008C100C">
        <w:rPr>
          <w:rFonts w:eastAsiaTheme="minorHAnsi"/>
          <w:color w:val="2D2728"/>
          <w:lang w:eastAsia="en-US"/>
        </w:rPr>
        <w:t>nju otp</w:t>
      </w:r>
      <w:r w:rsidRPr="008C100C">
        <w:rPr>
          <w:rFonts w:eastAsiaTheme="minorHAnsi"/>
          <w:color w:val="454142"/>
          <w:lang w:eastAsia="en-US"/>
        </w:rPr>
        <w:t>ornost</w:t>
      </w:r>
      <w:r w:rsidRPr="008C100C">
        <w:rPr>
          <w:rFonts w:eastAsiaTheme="minorHAnsi"/>
          <w:color w:val="2D2728"/>
          <w:lang w:eastAsia="en-US"/>
        </w:rPr>
        <w:t>i z</w:t>
      </w:r>
      <w:r w:rsidRPr="008C100C">
        <w:rPr>
          <w:rFonts w:eastAsiaTheme="minorHAnsi"/>
          <w:color w:val="454142"/>
          <w:lang w:eastAsia="en-US"/>
        </w:rPr>
        <w:t>oo</w:t>
      </w:r>
      <w:r w:rsidRPr="008C100C">
        <w:rPr>
          <w:rFonts w:eastAsiaTheme="minorHAnsi"/>
          <w:color w:val="2D2728"/>
          <w:lang w:eastAsia="en-US"/>
        </w:rPr>
        <w:t>not</w:t>
      </w:r>
      <w:r w:rsidRPr="008C100C">
        <w:rPr>
          <w:rFonts w:eastAsiaTheme="minorHAnsi"/>
          <w:color w:val="454142"/>
          <w:lang w:eastAsia="en-US"/>
        </w:rPr>
        <w:t>s</w:t>
      </w:r>
      <w:r w:rsidRPr="008C100C">
        <w:rPr>
          <w:rFonts w:eastAsiaTheme="minorHAnsi"/>
          <w:color w:val="2D2728"/>
          <w:lang w:eastAsia="en-US"/>
        </w:rPr>
        <w:t>kih i k</w:t>
      </w:r>
      <w:r w:rsidRPr="008C100C">
        <w:rPr>
          <w:rFonts w:eastAsiaTheme="minorHAnsi"/>
          <w:color w:val="454142"/>
          <w:lang w:eastAsia="en-US"/>
        </w:rPr>
        <w:t>o</w:t>
      </w:r>
      <w:r w:rsidRPr="008C100C">
        <w:rPr>
          <w:rFonts w:eastAsiaTheme="minorHAnsi"/>
          <w:color w:val="2D2728"/>
          <w:lang w:eastAsia="en-US"/>
        </w:rPr>
        <w:t>m</w:t>
      </w:r>
      <w:r w:rsidRPr="008C100C">
        <w:rPr>
          <w:rFonts w:eastAsiaTheme="minorHAnsi"/>
          <w:color w:val="454142"/>
          <w:lang w:eastAsia="en-US"/>
        </w:rPr>
        <w:t>e</w:t>
      </w:r>
      <w:r w:rsidRPr="008C100C">
        <w:rPr>
          <w:rFonts w:eastAsiaTheme="minorHAnsi"/>
          <w:color w:val="2D2728"/>
          <w:lang w:eastAsia="en-US"/>
        </w:rPr>
        <w:t>n</w:t>
      </w:r>
      <w:r w:rsidRPr="008C100C">
        <w:rPr>
          <w:rFonts w:eastAsiaTheme="minorHAnsi"/>
          <w:color w:val="454142"/>
          <w:lang w:eastAsia="en-US"/>
        </w:rPr>
        <w:t>za</w:t>
      </w:r>
      <w:r w:rsidRPr="008C100C">
        <w:rPr>
          <w:rFonts w:eastAsiaTheme="minorHAnsi"/>
          <w:color w:val="2D2728"/>
          <w:lang w:eastAsia="en-US"/>
        </w:rPr>
        <w:t>lnih b</w:t>
      </w:r>
      <w:r w:rsidRPr="008C100C">
        <w:rPr>
          <w:rFonts w:eastAsiaTheme="minorHAnsi"/>
          <w:color w:val="454142"/>
          <w:lang w:eastAsia="en-US"/>
        </w:rPr>
        <w:t>ak</w:t>
      </w:r>
      <w:r w:rsidRPr="008C100C">
        <w:rPr>
          <w:rFonts w:eastAsiaTheme="minorHAnsi"/>
          <w:color w:val="2D2728"/>
          <w:lang w:eastAsia="en-US"/>
        </w:rPr>
        <w:t>t</w:t>
      </w:r>
      <w:r w:rsidRPr="008C100C">
        <w:rPr>
          <w:rFonts w:eastAsiaTheme="minorHAnsi"/>
          <w:color w:val="454142"/>
          <w:lang w:eastAsia="en-US"/>
        </w:rPr>
        <w:t>e</w:t>
      </w:r>
      <w:r w:rsidRPr="008C100C">
        <w:rPr>
          <w:rFonts w:eastAsiaTheme="minorHAnsi"/>
          <w:color w:val="2D2728"/>
          <w:lang w:eastAsia="en-US"/>
        </w:rPr>
        <w:t>rij</w:t>
      </w:r>
      <w:r w:rsidRPr="008C100C">
        <w:rPr>
          <w:rFonts w:eastAsiaTheme="minorHAnsi"/>
          <w:color w:val="454142"/>
          <w:lang w:eastAsia="en-US"/>
        </w:rPr>
        <w:t xml:space="preserve">a </w:t>
      </w:r>
      <w:r w:rsidRPr="008C100C">
        <w:rPr>
          <w:rFonts w:eastAsiaTheme="minorHAnsi"/>
          <w:color w:val="2D2728"/>
          <w:lang w:eastAsia="en-US"/>
        </w:rPr>
        <w:t>n</w:t>
      </w:r>
      <w:r w:rsidRPr="008C100C">
        <w:rPr>
          <w:rFonts w:eastAsiaTheme="minorHAnsi"/>
          <w:color w:val="454142"/>
          <w:lang w:eastAsia="en-US"/>
        </w:rPr>
        <w:t>a an</w:t>
      </w:r>
      <w:r w:rsidRPr="008C100C">
        <w:rPr>
          <w:rFonts w:eastAsiaTheme="minorHAnsi"/>
          <w:color w:val="2D2728"/>
          <w:lang w:eastAsia="en-US"/>
        </w:rPr>
        <w:t>timikr</w:t>
      </w:r>
      <w:r w:rsidRPr="008C100C">
        <w:rPr>
          <w:rFonts w:eastAsiaTheme="minorHAnsi"/>
          <w:color w:val="454142"/>
          <w:lang w:eastAsia="en-US"/>
        </w:rPr>
        <w:t>obna s</w:t>
      </w:r>
      <w:r w:rsidRPr="008C100C">
        <w:rPr>
          <w:rFonts w:eastAsiaTheme="minorHAnsi"/>
          <w:color w:val="2D2728"/>
          <w:lang w:eastAsia="en-US"/>
        </w:rPr>
        <w:t>r</w:t>
      </w:r>
      <w:r w:rsidRPr="008C100C">
        <w:rPr>
          <w:rFonts w:eastAsiaTheme="minorHAnsi"/>
          <w:color w:val="454142"/>
          <w:lang w:eastAsia="en-US"/>
        </w:rPr>
        <w:t>e</w:t>
      </w:r>
      <w:r w:rsidRPr="008C100C">
        <w:rPr>
          <w:rFonts w:eastAsiaTheme="minorHAnsi"/>
          <w:color w:val="2D2728"/>
          <w:lang w:eastAsia="en-US"/>
        </w:rPr>
        <w:t>d</w:t>
      </w:r>
      <w:r w:rsidRPr="008C100C">
        <w:rPr>
          <w:rFonts w:eastAsiaTheme="minorHAnsi"/>
          <w:color w:val="454142"/>
          <w:lang w:eastAsia="en-US"/>
        </w:rPr>
        <w:t>stva i izv</w:t>
      </w:r>
      <w:r w:rsidRPr="008C100C">
        <w:rPr>
          <w:rFonts w:eastAsiaTheme="minorHAnsi"/>
          <w:color w:val="2D2728"/>
          <w:lang w:eastAsia="en-US"/>
        </w:rPr>
        <w:t>ješći</w:t>
      </w:r>
      <w:r w:rsidRPr="008C100C">
        <w:rPr>
          <w:rFonts w:eastAsiaTheme="minorHAnsi"/>
          <w:color w:val="454142"/>
          <w:lang w:eastAsia="en-US"/>
        </w:rPr>
        <w:t>v</w:t>
      </w:r>
      <w:r w:rsidRPr="008C100C">
        <w:rPr>
          <w:rFonts w:eastAsiaTheme="minorHAnsi"/>
          <w:color w:val="2D2728"/>
          <w:lang w:eastAsia="en-US"/>
        </w:rPr>
        <w:t>anju o</w:t>
      </w:r>
      <w:r w:rsidRPr="008C100C">
        <w:rPr>
          <w:rFonts w:eastAsiaTheme="minorHAnsi"/>
          <w:color w:val="454142"/>
          <w:lang w:eastAsia="en-US"/>
        </w:rPr>
        <w:t xml:space="preserve"> </w:t>
      </w:r>
      <w:r w:rsidRPr="008C100C">
        <w:rPr>
          <w:rFonts w:eastAsiaTheme="minorHAnsi"/>
          <w:color w:val="2D2728"/>
          <w:lang w:eastAsia="en-US"/>
        </w:rPr>
        <w:t>t</w:t>
      </w:r>
      <w:r w:rsidRPr="008C100C">
        <w:rPr>
          <w:rFonts w:eastAsiaTheme="minorHAnsi"/>
          <w:color w:val="454142"/>
          <w:lang w:eastAsia="en-US"/>
        </w:rPr>
        <w:t>o</w:t>
      </w:r>
      <w:r w:rsidRPr="008C100C">
        <w:rPr>
          <w:rFonts w:eastAsiaTheme="minorHAnsi"/>
          <w:color w:val="2D2728"/>
          <w:lang w:eastAsia="en-US"/>
        </w:rPr>
        <w:t>m pr</w:t>
      </w:r>
      <w:r w:rsidRPr="008C100C">
        <w:rPr>
          <w:rFonts w:eastAsiaTheme="minorHAnsi"/>
          <w:color w:val="454142"/>
          <w:lang w:eastAsia="en-US"/>
        </w:rPr>
        <w:t>aće</w:t>
      </w:r>
      <w:r w:rsidRPr="008C100C">
        <w:rPr>
          <w:rFonts w:eastAsiaTheme="minorHAnsi"/>
          <w:color w:val="2D2728"/>
          <w:lang w:eastAsia="en-US"/>
        </w:rPr>
        <w:t xml:space="preserve">nju. </w:t>
      </w:r>
      <w:r w:rsidRPr="008C100C">
        <w:rPr>
          <w:rFonts w:eastAsiaTheme="minorHAnsi"/>
          <w:color w:val="454142"/>
          <w:lang w:eastAsia="en-US"/>
        </w:rPr>
        <w:t>Uzor</w:t>
      </w:r>
      <w:r w:rsidRPr="008C100C">
        <w:rPr>
          <w:rFonts w:eastAsiaTheme="minorHAnsi"/>
          <w:color w:val="2D2728"/>
          <w:lang w:eastAsia="en-US"/>
        </w:rPr>
        <w:t>k</w:t>
      </w:r>
      <w:r w:rsidRPr="008C100C">
        <w:rPr>
          <w:rFonts w:eastAsiaTheme="minorHAnsi"/>
          <w:color w:val="454142"/>
          <w:lang w:eastAsia="en-US"/>
        </w:rPr>
        <w:t>ov</w:t>
      </w:r>
      <w:r w:rsidRPr="008C100C">
        <w:rPr>
          <w:rFonts w:eastAsiaTheme="minorHAnsi"/>
          <w:color w:val="2D2728"/>
          <w:lang w:eastAsia="en-US"/>
        </w:rPr>
        <w:t>an</w:t>
      </w:r>
      <w:r w:rsidRPr="008C100C">
        <w:rPr>
          <w:rFonts w:eastAsiaTheme="minorHAnsi"/>
          <w:color w:val="454142"/>
          <w:lang w:eastAsia="en-US"/>
        </w:rPr>
        <w:t xml:space="preserve">je i </w:t>
      </w:r>
      <w:r w:rsidRPr="008C100C">
        <w:rPr>
          <w:rFonts w:eastAsiaTheme="minorHAnsi"/>
          <w:color w:val="2D2728"/>
          <w:lang w:eastAsia="en-US"/>
        </w:rPr>
        <w:t>d</w:t>
      </w:r>
      <w:r w:rsidRPr="008C100C">
        <w:rPr>
          <w:rFonts w:eastAsiaTheme="minorHAnsi"/>
          <w:color w:val="454142"/>
          <w:lang w:eastAsia="en-US"/>
        </w:rPr>
        <w:t>i</w:t>
      </w:r>
      <w:r w:rsidRPr="008C100C">
        <w:rPr>
          <w:rFonts w:eastAsiaTheme="minorHAnsi"/>
          <w:color w:val="2D2728"/>
          <w:lang w:eastAsia="en-US"/>
        </w:rPr>
        <w:t>j</w:t>
      </w:r>
      <w:r w:rsidRPr="008C100C">
        <w:rPr>
          <w:rFonts w:eastAsiaTheme="minorHAnsi"/>
          <w:color w:val="454142"/>
          <w:lang w:eastAsia="en-US"/>
        </w:rPr>
        <w:t>ag</w:t>
      </w:r>
      <w:r w:rsidRPr="008C100C">
        <w:rPr>
          <w:rFonts w:eastAsiaTheme="minorHAnsi"/>
          <w:color w:val="2D2728"/>
          <w:lang w:eastAsia="en-US"/>
        </w:rPr>
        <w:t>n</w:t>
      </w:r>
      <w:r w:rsidRPr="008C100C">
        <w:rPr>
          <w:rFonts w:eastAsiaTheme="minorHAnsi"/>
          <w:color w:val="454142"/>
          <w:lang w:eastAsia="en-US"/>
        </w:rPr>
        <w:t>os</w:t>
      </w:r>
      <w:r w:rsidRPr="008C100C">
        <w:rPr>
          <w:rFonts w:eastAsiaTheme="minorHAnsi"/>
          <w:color w:val="2D2728"/>
          <w:lang w:eastAsia="en-US"/>
        </w:rPr>
        <w:t>t</w:t>
      </w:r>
      <w:r w:rsidRPr="008C100C">
        <w:rPr>
          <w:rFonts w:eastAsiaTheme="minorHAnsi"/>
          <w:color w:val="454142"/>
          <w:lang w:eastAsia="en-US"/>
        </w:rPr>
        <w:t>ič</w:t>
      </w:r>
      <w:r w:rsidRPr="008C100C">
        <w:rPr>
          <w:rFonts w:eastAsiaTheme="minorHAnsi"/>
          <w:color w:val="2D2728"/>
          <w:lang w:eastAsia="en-US"/>
        </w:rPr>
        <w:t>k</w:t>
      </w:r>
      <w:r w:rsidRPr="008C100C">
        <w:rPr>
          <w:rFonts w:eastAsiaTheme="minorHAnsi"/>
          <w:color w:val="454142"/>
          <w:lang w:eastAsia="en-US"/>
        </w:rPr>
        <w:t xml:space="preserve">e </w:t>
      </w:r>
      <w:r w:rsidRPr="008C100C">
        <w:rPr>
          <w:rFonts w:eastAsiaTheme="minorHAnsi"/>
          <w:color w:val="2D2728"/>
          <w:lang w:eastAsia="en-US"/>
        </w:rPr>
        <w:t>pre</w:t>
      </w:r>
      <w:r w:rsidRPr="008C100C">
        <w:rPr>
          <w:rFonts w:eastAsiaTheme="minorHAnsi"/>
          <w:color w:val="454142"/>
          <w:lang w:eastAsia="en-US"/>
        </w:rPr>
        <w:t>trage hrane živo</w:t>
      </w:r>
      <w:r w:rsidRPr="008C100C">
        <w:rPr>
          <w:rFonts w:eastAsiaTheme="minorHAnsi"/>
          <w:color w:val="2D2728"/>
          <w:lang w:eastAsia="en-US"/>
        </w:rPr>
        <w:t>tin</w:t>
      </w:r>
      <w:r w:rsidRPr="008C100C">
        <w:rPr>
          <w:rFonts w:eastAsiaTheme="minorHAnsi"/>
          <w:color w:val="454142"/>
          <w:lang w:eastAsia="en-US"/>
        </w:rPr>
        <w:t>js</w:t>
      </w:r>
      <w:r w:rsidRPr="008C100C">
        <w:rPr>
          <w:rFonts w:eastAsiaTheme="minorHAnsi"/>
          <w:color w:val="2D2728"/>
          <w:lang w:eastAsia="en-US"/>
        </w:rPr>
        <w:t>k</w:t>
      </w:r>
      <w:r w:rsidRPr="008C100C">
        <w:rPr>
          <w:rFonts w:eastAsiaTheme="minorHAnsi"/>
          <w:color w:val="454142"/>
          <w:lang w:eastAsia="en-US"/>
        </w:rPr>
        <w:t xml:space="preserve">og </w:t>
      </w:r>
      <w:r w:rsidRPr="008C100C">
        <w:rPr>
          <w:rFonts w:eastAsiaTheme="minorHAnsi"/>
          <w:color w:val="2D2728"/>
          <w:lang w:eastAsia="en-US"/>
        </w:rPr>
        <w:t>p</w:t>
      </w:r>
      <w:r w:rsidRPr="008C100C">
        <w:rPr>
          <w:rFonts w:eastAsiaTheme="minorHAnsi"/>
          <w:color w:val="454142"/>
          <w:lang w:eastAsia="en-US"/>
        </w:rPr>
        <w:t>o</w:t>
      </w:r>
      <w:r w:rsidRPr="008C100C">
        <w:rPr>
          <w:rFonts w:eastAsiaTheme="minorHAnsi"/>
          <w:color w:val="2D2728"/>
          <w:lang w:eastAsia="en-US"/>
        </w:rPr>
        <w:t>drijetl</w:t>
      </w:r>
      <w:r w:rsidRPr="008C100C">
        <w:rPr>
          <w:rFonts w:eastAsiaTheme="minorHAnsi"/>
          <w:color w:val="454142"/>
          <w:lang w:eastAsia="en-US"/>
        </w:rPr>
        <w:t xml:space="preserve">a </w:t>
      </w:r>
      <w:r w:rsidRPr="008C100C">
        <w:rPr>
          <w:rFonts w:eastAsiaTheme="minorHAnsi"/>
          <w:color w:val="2D2728"/>
          <w:lang w:eastAsia="en-US"/>
        </w:rPr>
        <w:t>u</w:t>
      </w:r>
      <w:r w:rsidRPr="008C100C">
        <w:rPr>
          <w:rFonts w:eastAsiaTheme="minorHAnsi"/>
          <w:color w:val="454142"/>
          <w:lang w:eastAsia="en-US"/>
        </w:rPr>
        <w:t>k</w:t>
      </w:r>
      <w:r w:rsidRPr="008C100C">
        <w:rPr>
          <w:rFonts w:eastAsiaTheme="minorHAnsi"/>
          <w:color w:val="2D2728"/>
          <w:lang w:eastAsia="en-US"/>
        </w:rPr>
        <w:t>l</w:t>
      </w:r>
      <w:r w:rsidRPr="008C100C">
        <w:rPr>
          <w:rFonts w:eastAsiaTheme="minorHAnsi"/>
          <w:color w:val="454142"/>
          <w:lang w:eastAsia="en-US"/>
        </w:rPr>
        <w:t>j</w:t>
      </w:r>
      <w:r w:rsidRPr="008C100C">
        <w:rPr>
          <w:rFonts w:eastAsiaTheme="minorHAnsi"/>
          <w:color w:val="2D2728"/>
          <w:lang w:eastAsia="en-US"/>
        </w:rPr>
        <w:t>u</w:t>
      </w:r>
      <w:r w:rsidRPr="008C100C">
        <w:rPr>
          <w:rFonts w:eastAsiaTheme="minorHAnsi"/>
          <w:color w:val="454142"/>
          <w:lang w:eastAsia="en-US"/>
        </w:rPr>
        <w:t>č</w:t>
      </w:r>
      <w:r w:rsidRPr="008C100C">
        <w:rPr>
          <w:rFonts w:eastAsiaTheme="minorHAnsi"/>
          <w:color w:val="2D2728"/>
          <w:lang w:eastAsia="en-US"/>
        </w:rPr>
        <w:t>u</w:t>
      </w:r>
      <w:r w:rsidRPr="008C100C">
        <w:rPr>
          <w:rFonts w:eastAsiaTheme="minorHAnsi"/>
          <w:color w:val="454142"/>
          <w:lang w:eastAsia="en-US"/>
        </w:rPr>
        <w:t>j</w:t>
      </w:r>
      <w:r w:rsidRPr="008C100C">
        <w:rPr>
          <w:rFonts w:eastAsiaTheme="minorHAnsi"/>
          <w:color w:val="2D2728"/>
          <w:lang w:eastAsia="en-US"/>
        </w:rPr>
        <w:t>u</w:t>
      </w:r>
      <w:r w:rsidRPr="008C100C">
        <w:rPr>
          <w:rFonts w:eastAsiaTheme="minorHAnsi"/>
          <w:color w:val="454142"/>
          <w:lang w:eastAsia="en-US"/>
        </w:rPr>
        <w:t>ći t</w:t>
      </w:r>
      <w:r w:rsidRPr="008C100C">
        <w:rPr>
          <w:rFonts w:eastAsiaTheme="minorHAnsi"/>
          <w:color w:val="2D2728"/>
          <w:lang w:eastAsia="en-US"/>
        </w:rPr>
        <w:t>ipi</w:t>
      </w:r>
      <w:r w:rsidRPr="008C100C">
        <w:rPr>
          <w:rFonts w:eastAsiaTheme="minorHAnsi"/>
          <w:color w:val="454142"/>
          <w:lang w:eastAsia="en-US"/>
        </w:rPr>
        <w:t>zac</w:t>
      </w:r>
      <w:r w:rsidRPr="008C100C">
        <w:rPr>
          <w:rFonts w:eastAsiaTheme="minorHAnsi"/>
          <w:color w:val="2D2728"/>
          <w:lang w:eastAsia="en-US"/>
        </w:rPr>
        <w:t>iju i i</w:t>
      </w:r>
      <w:r w:rsidRPr="008C100C">
        <w:rPr>
          <w:rFonts w:eastAsiaTheme="minorHAnsi"/>
          <w:color w:val="454142"/>
          <w:lang w:eastAsia="en-US"/>
        </w:rPr>
        <w:t>s</w:t>
      </w:r>
      <w:r w:rsidRPr="008C100C">
        <w:rPr>
          <w:rFonts w:eastAsiaTheme="minorHAnsi"/>
          <w:color w:val="2D2728"/>
          <w:lang w:eastAsia="en-US"/>
        </w:rPr>
        <w:t>piti</w:t>
      </w:r>
      <w:r w:rsidRPr="008C100C">
        <w:rPr>
          <w:rFonts w:eastAsiaTheme="minorHAnsi"/>
          <w:color w:val="454142"/>
          <w:lang w:eastAsia="en-US"/>
        </w:rPr>
        <w:t>v</w:t>
      </w:r>
      <w:r w:rsidRPr="008C100C">
        <w:rPr>
          <w:rFonts w:eastAsiaTheme="minorHAnsi"/>
          <w:color w:val="2D2728"/>
          <w:lang w:eastAsia="en-US"/>
        </w:rPr>
        <w:t>anj</w:t>
      </w:r>
      <w:r w:rsidRPr="008C100C">
        <w:rPr>
          <w:rFonts w:eastAsiaTheme="minorHAnsi"/>
          <w:color w:val="454142"/>
          <w:lang w:eastAsia="en-US"/>
        </w:rPr>
        <w:t>e o</w:t>
      </w:r>
      <w:r w:rsidRPr="008C100C">
        <w:rPr>
          <w:rFonts w:eastAsiaTheme="minorHAnsi"/>
          <w:color w:val="2D2728"/>
          <w:lang w:eastAsia="en-US"/>
        </w:rPr>
        <w:t>tp</w:t>
      </w:r>
      <w:r w:rsidRPr="008C100C">
        <w:rPr>
          <w:rFonts w:eastAsiaTheme="minorHAnsi"/>
          <w:color w:val="454142"/>
          <w:lang w:eastAsia="en-US"/>
        </w:rPr>
        <w:t>ornos</w:t>
      </w:r>
      <w:r w:rsidRPr="008C100C">
        <w:rPr>
          <w:rFonts w:eastAsiaTheme="minorHAnsi"/>
          <w:color w:val="2D2728"/>
          <w:lang w:eastAsia="en-US"/>
        </w:rPr>
        <w:t>ti na antimikr</w:t>
      </w:r>
      <w:r w:rsidRPr="008C100C">
        <w:rPr>
          <w:rFonts w:eastAsiaTheme="minorHAnsi"/>
          <w:color w:val="454142"/>
          <w:lang w:eastAsia="en-US"/>
        </w:rPr>
        <w:t>o</w:t>
      </w:r>
      <w:r w:rsidRPr="008C100C">
        <w:rPr>
          <w:rFonts w:eastAsiaTheme="minorHAnsi"/>
          <w:color w:val="2D2728"/>
          <w:lang w:eastAsia="en-US"/>
        </w:rPr>
        <w:t xml:space="preserve">bna </w:t>
      </w:r>
      <w:r w:rsidRPr="008C100C">
        <w:rPr>
          <w:rFonts w:eastAsiaTheme="minorHAnsi"/>
          <w:color w:val="454142"/>
          <w:lang w:eastAsia="en-US"/>
        </w:rPr>
        <w:t>sre</w:t>
      </w:r>
      <w:r w:rsidRPr="008C100C">
        <w:rPr>
          <w:rFonts w:eastAsiaTheme="minorHAnsi"/>
          <w:color w:val="2D2728"/>
          <w:lang w:eastAsia="en-US"/>
        </w:rPr>
        <w:t>d</w:t>
      </w:r>
      <w:r w:rsidRPr="008C100C">
        <w:rPr>
          <w:rFonts w:eastAsiaTheme="minorHAnsi"/>
          <w:color w:val="454142"/>
          <w:lang w:eastAsia="en-US"/>
        </w:rPr>
        <w:t xml:space="preserve">stva </w:t>
      </w:r>
      <w:r w:rsidRPr="008C100C">
        <w:rPr>
          <w:rFonts w:eastAsiaTheme="minorHAnsi"/>
          <w:color w:val="2D2728"/>
          <w:lang w:eastAsia="en-US"/>
        </w:rPr>
        <w:t>i</w:t>
      </w:r>
      <w:r w:rsidRPr="008C100C">
        <w:rPr>
          <w:rFonts w:eastAsiaTheme="minorHAnsi"/>
          <w:color w:val="454142"/>
          <w:lang w:eastAsia="en-US"/>
        </w:rPr>
        <w:t>zo</w:t>
      </w:r>
      <w:r w:rsidRPr="008C100C">
        <w:rPr>
          <w:rFonts w:eastAsiaTheme="minorHAnsi"/>
          <w:color w:val="2D2728"/>
          <w:lang w:eastAsia="en-US"/>
        </w:rPr>
        <w:t>lir</w:t>
      </w:r>
      <w:r w:rsidRPr="008C100C">
        <w:rPr>
          <w:rFonts w:eastAsiaTheme="minorHAnsi"/>
          <w:color w:val="454142"/>
          <w:lang w:eastAsia="en-US"/>
        </w:rPr>
        <w:t>an</w:t>
      </w:r>
      <w:r w:rsidRPr="008C100C">
        <w:rPr>
          <w:rFonts w:eastAsiaTheme="minorHAnsi"/>
          <w:color w:val="2D2728"/>
          <w:lang w:eastAsia="en-US"/>
        </w:rPr>
        <w:t xml:space="preserve">ih </w:t>
      </w:r>
      <w:r w:rsidRPr="008C100C">
        <w:rPr>
          <w:rFonts w:eastAsiaTheme="minorHAnsi"/>
          <w:color w:val="454142"/>
          <w:lang w:eastAsia="en-US"/>
        </w:rPr>
        <w:t xml:space="preserve">sojeva </w:t>
      </w:r>
      <w:r w:rsidRPr="008C100C">
        <w:rPr>
          <w:rFonts w:eastAsiaTheme="minorHAnsi"/>
          <w:i/>
          <w:iCs/>
          <w:color w:val="454142"/>
          <w:lang w:eastAsia="en-US"/>
        </w:rPr>
        <w:t>S</w:t>
      </w:r>
      <w:r w:rsidRPr="008C100C">
        <w:rPr>
          <w:rFonts w:eastAsiaTheme="minorHAnsi"/>
          <w:i/>
          <w:iCs/>
          <w:color w:val="2D2728"/>
          <w:lang w:eastAsia="en-US"/>
        </w:rPr>
        <w:t>alm</w:t>
      </w:r>
      <w:r w:rsidRPr="008C100C">
        <w:rPr>
          <w:rFonts w:eastAsiaTheme="minorHAnsi"/>
          <w:i/>
          <w:iCs/>
          <w:color w:val="454142"/>
          <w:lang w:eastAsia="en-US"/>
        </w:rPr>
        <w:t>o</w:t>
      </w:r>
      <w:r w:rsidRPr="008C100C">
        <w:rPr>
          <w:rFonts w:eastAsiaTheme="minorHAnsi"/>
          <w:i/>
          <w:iCs/>
          <w:color w:val="2D2728"/>
          <w:lang w:eastAsia="en-US"/>
        </w:rPr>
        <w:t>n</w:t>
      </w:r>
      <w:r w:rsidRPr="008C100C">
        <w:rPr>
          <w:rFonts w:eastAsiaTheme="minorHAnsi"/>
          <w:i/>
          <w:iCs/>
          <w:color w:val="454142"/>
          <w:lang w:eastAsia="en-US"/>
        </w:rPr>
        <w:t>e</w:t>
      </w:r>
      <w:r w:rsidRPr="008C100C">
        <w:rPr>
          <w:rFonts w:eastAsiaTheme="minorHAnsi"/>
          <w:i/>
          <w:iCs/>
          <w:color w:val="2D2728"/>
          <w:lang w:eastAsia="en-US"/>
        </w:rPr>
        <w:t>ll</w:t>
      </w:r>
      <w:r w:rsidRPr="008C100C">
        <w:rPr>
          <w:rFonts w:eastAsiaTheme="minorHAnsi"/>
          <w:i/>
          <w:iCs/>
          <w:color w:val="454142"/>
          <w:lang w:eastAsia="en-US"/>
        </w:rPr>
        <w:t xml:space="preserve">a spp. </w:t>
      </w:r>
      <w:r w:rsidRPr="008C100C">
        <w:rPr>
          <w:rFonts w:eastAsiaTheme="minorHAnsi"/>
          <w:color w:val="2D2728"/>
          <w:lang w:eastAsia="en-US"/>
        </w:rPr>
        <w:t>t</w:t>
      </w:r>
      <w:r w:rsidRPr="008C100C">
        <w:rPr>
          <w:rFonts w:eastAsiaTheme="minorHAnsi"/>
          <w:color w:val="454142"/>
          <w:lang w:eastAsia="en-US"/>
        </w:rPr>
        <w:t xml:space="preserve">e </w:t>
      </w:r>
      <w:r w:rsidRPr="008C100C">
        <w:rPr>
          <w:rFonts w:eastAsiaTheme="minorHAnsi"/>
          <w:color w:val="2D2728"/>
          <w:lang w:eastAsia="en-US"/>
        </w:rPr>
        <w:t>i</w:t>
      </w:r>
      <w:r w:rsidRPr="008C100C">
        <w:rPr>
          <w:rFonts w:eastAsiaTheme="minorHAnsi"/>
          <w:color w:val="454142"/>
          <w:lang w:eastAsia="en-US"/>
        </w:rPr>
        <w:t>zo</w:t>
      </w:r>
      <w:r w:rsidRPr="008C100C">
        <w:rPr>
          <w:rFonts w:eastAsiaTheme="minorHAnsi"/>
          <w:color w:val="2D2728"/>
          <w:lang w:eastAsia="en-US"/>
        </w:rPr>
        <w:t xml:space="preserve">liranih </w:t>
      </w:r>
      <w:r w:rsidRPr="008C100C">
        <w:rPr>
          <w:rFonts w:eastAsiaTheme="minorHAnsi"/>
          <w:color w:val="454142"/>
          <w:lang w:eastAsia="en-US"/>
        </w:rPr>
        <w:t>so</w:t>
      </w:r>
      <w:r w:rsidRPr="008C100C">
        <w:rPr>
          <w:rFonts w:eastAsiaTheme="minorHAnsi"/>
          <w:color w:val="2D2728"/>
          <w:lang w:eastAsia="en-US"/>
        </w:rPr>
        <w:t>j</w:t>
      </w:r>
      <w:r w:rsidRPr="008C100C">
        <w:rPr>
          <w:rFonts w:eastAsiaTheme="minorHAnsi"/>
          <w:color w:val="454142"/>
          <w:lang w:eastAsia="en-US"/>
        </w:rPr>
        <w:t>eva E</w:t>
      </w:r>
      <w:r w:rsidRPr="008C100C">
        <w:rPr>
          <w:rFonts w:eastAsiaTheme="minorHAnsi"/>
          <w:i/>
          <w:iCs/>
          <w:color w:val="454142"/>
          <w:lang w:eastAsia="en-US"/>
        </w:rPr>
        <w:t>. co</w:t>
      </w:r>
      <w:r w:rsidRPr="008C100C">
        <w:rPr>
          <w:rFonts w:eastAsiaTheme="minorHAnsi"/>
          <w:i/>
          <w:iCs/>
          <w:color w:val="2D2728"/>
          <w:lang w:eastAsia="en-US"/>
        </w:rPr>
        <w:t xml:space="preserve">li </w:t>
      </w:r>
      <w:r w:rsidRPr="008C100C">
        <w:rPr>
          <w:rFonts w:eastAsiaTheme="minorHAnsi"/>
          <w:color w:val="2D2728"/>
          <w:lang w:eastAsia="en-US"/>
        </w:rPr>
        <w:t>k</w:t>
      </w:r>
      <w:r w:rsidRPr="008C100C">
        <w:rPr>
          <w:rFonts w:eastAsiaTheme="minorHAnsi"/>
          <w:color w:val="454142"/>
          <w:lang w:eastAsia="en-US"/>
        </w:rPr>
        <w:t xml:space="preserve">oja </w:t>
      </w:r>
      <w:r w:rsidRPr="008C100C">
        <w:rPr>
          <w:rFonts w:eastAsiaTheme="minorHAnsi"/>
          <w:color w:val="2D2728"/>
          <w:lang w:eastAsia="en-US"/>
        </w:rPr>
        <w:t>pr</w:t>
      </w:r>
      <w:r w:rsidRPr="008C100C">
        <w:rPr>
          <w:rFonts w:eastAsiaTheme="minorHAnsi"/>
          <w:color w:val="454142"/>
          <w:lang w:eastAsia="en-US"/>
        </w:rPr>
        <w:t>o</w:t>
      </w:r>
      <w:r w:rsidRPr="008C100C">
        <w:rPr>
          <w:rFonts w:eastAsiaTheme="minorHAnsi"/>
          <w:color w:val="2D2728"/>
          <w:lang w:eastAsia="en-US"/>
        </w:rPr>
        <w:t>i</w:t>
      </w:r>
      <w:r w:rsidRPr="008C100C">
        <w:rPr>
          <w:rFonts w:eastAsiaTheme="minorHAnsi"/>
          <w:color w:val="454142"/>
          <w:lang w:eastAsia="en-US"/>
        </w:rPr>
        <w:t>zvo</w:t>
      </w:r>
      <w:r w:rsidRPr="008C100C">
        <w:rPr>
          <w:rFonts w:eastAsiaTheme="minorHAnsi"/>
          <w:color w:val="2D2728"/>
          <w:lang w:eastAsia="en-US"/>
        </w:rPr>
        <w:t>di b</w:t>
      </w:r>
      <w:r w:rsidRPr="008C100C">
        <w:rPr>
          <w:rFonts w:eastAsiaTheme="minorHAnsi"/>
          <w:color w:val="454142"/>
          <w:lang w:eastAsia="en-US"/>
        </w:rPr>
        <w:t>e</w:t>
      </w:r>
      <w:r w:rsidRPr="008C100C">
        <w:rPr>
          <w:rFonts w:eastAsiaTheme="minorHAnsi"/>
          <w:color w:val="2D2728"/>
          <w:lang w:eastAsia="en-US"/>
        </w:rPr>
        <w:t>t</w:t>
      </w:r>
      <w:r w:rsidRPr="008C100C">
        <w:rPr>
          <w:rFonts w:eastAsiaTheme="minorHAnsi"/>
          <w:color w:val="454142"/>
          <w:lang w:eastAsia="en-US"/>
        </w:rPr>
        <w:t xml:space="preserve">a </w:t>
      </w:r>
      <w:r w:rsidRPr="008C100C">
        <w:rPr>
          <w:rFonts w:eastAsiaTheme="minorHAnsi"/>
          <w:color w:val="2D2728"/>
          <w:lang w:eastAsia="en-US"/>
        </w:rPr>
        <w:t>l</w:t>
      </w:r>
      <w:r w:rsidRPr="008C100C">
        <w:rPr>
          <w:rFonts w:eastAsiaTheme="minorHAnsi"/>
          <w:color w:val="454142"/>
          <w:lang w:eastAsia="en-US"/>
        </w:rPr>
        <w:t xml:space="preserve">aktamaze </w:t>
      </w:r>
      <w:r w:rsidRPr="008C100C">
        <w:rPr>
          <w:rFonts w:eastAsiaTheme="minorHAnsi"/>
          <w:color w:val="2D2728"/>
          <w:lang w:eastAsia="en-US"/>
        </w:rPr>
        <w:t>pr</w:t>
      </w:r>
      <w:r w:rsidRPr="008C100C">
        <w:rPr>
          <w:rFonts w:eastAsiaTheme="minorHAnsi"/>
          <w:color w:val="454142"/>
          <w:lang w:eastAsia="en-US"/>
        </w:rPr>
        <w:t>oš</w:t>
      </w:r>
      <w:r w:rsidRPr="008C100C">
        <w:rPr>
          <w:rFonts w:eastAsiaTheme="minorHAnsi"/>
          <w:color w:val="2D2728"/>
          <w:lang w:eastAsia="en-US"/>
        </w:rPr>
        <w:t>ir</w:t>
      </w:r>
      <w:r w:rsidRPr="008C100C">
        <w:rPr>
          <w:rFonts w:eastAsiaTheme="minorHAnsi"/>
          <w:color w:val="454142"/>
          <w:lang w:eastAsia="en-US"/>
        </w:rPr>
        <w:t>e</w:t>
      </w:r>
      <w:r w:rsidRPr="008C100C">
        <w:rPr>
          <w:rFonts w:eastAsiaTheme="minorHAnsi"/>
          <w:color w:val="2D2728"/>
          <w:lang w:eastAsia="en-US"/>
        </w:rPr>
        <w:t>n</w:t>
      </w:r>
      <w:r w:rsidRPr="008C100C">
        <w:rPr>
          <w:rFonts w:eastAsiaTheme="minorHAnsi"/>
          <w:color w:val="454142"/>
          <w:lang w:eastAsia="en-US"/>
        </w:rPr>
        <w:t>og spekt</w:t>
      </w:r>
      <w:r w:rsidRPr="008C100C">
        <w:rPr>
          <w:rFonts w:eastAsiaTheme="minorHAnsi"/>
          <w:color w:val="2D2728"/>
          <w:lang w:eastAsia="en-US"/>
        </w:rPr>
        <w:t>r</w:t>
      </w:r>
      <w:r w:rsidRPr="008C100C">
        <w:rPr>
          <w:rFonts w:eastAsiaTheme="minorHAnsi"/>
          <w:color w:val="454142"/>
          <w:lang w:eastAsia="en-US"/>
        </w:rPr>
        <w:t xml:space="preserve">a </w:t>
      </w:r>
      <w:r w:rsidRPr="008C100C">
        <w:rPr>
          <w:rFonts w:eastAsiaTheme="minorHAnsi"/>
          <w:color w:val="2D2728"/>
          <w:lang w:eastAsia="en-US"/>
        </w:rPr>
        <w:t xml:space="preserve">ili </w:t>
      </w:r>
      <w:r w:rsidRPr="008C100C">
        <w:rPr>
          <w:rFonts w:eastAsiaTheme="minorHAnsi"/>
          <w:color w:val="454142"/>
          <w:lang w:eastAsia="en-US"/>
        </w:rPr>
        <w:t xml:space="preserve">beta </w:t>
      </w:r>
      <w:r w:rsidRPr="008C100C">
        <w:rPr>
          <w:rFonts w:eastAsiaTheme="minorHAnsi"/>
          <w:color w:val="2D2728"/>
          <w:lang w:eastAsia="en-US"/>
        </w:rPr>
        <w:t>l</w:t>
      </w:r>
      <w:r w:rsidRPr="008C100C">
        <w:rPr>
          <w:rFonts w:eastAsiaTheme="minorHAnsi"/>
          <w:color w:val="454142"/>
          <w:lang w:eastAsia="en-US"/>
        </w:rPr>
        <w:t>a</w:t>
      </w:r>
      <w:r w:rsidRPr="008C100C">
        <w:rPr>
          <w:rFonts w:eastAsiaTheme="minorHAnsi"/>
          <w:color w:val="2D2728"/>
          <w:lang w:eastAsia="en-US"/>
        </w:rPr>
        <w:t>k</w:t>
      </w:r>
      <w:r w:rsidRPr="008C100C">
        <w:rPr>
          <w:rFonts w:eastAsiaTheme="minorHAnsi"/>
          <w:color w:val="454142"/>
          <w:lang w:eastAsia="en-US"/>
        </w:rPr>
        <w:t>ta</w:t>
      </w:r>
      <w:r w:rsidRPr="008C100C">
        <w:rPr>
          <w:rFonts w:eastAsiaTheme="minorHAnsi"/>
          <w:color w:val="2D2728"/>
          <w:lang w:eastAsia="en-US"/>
        </w:rPr>
        <w:t>m</w:t>
      </w:r>
      <w:r w:rsidRPr="008C100C">
        <w:rPr>
          <w:rFonts w:eastAsiaTheme="minorHAnsi"/>
          <w:color w:val="454142"/>
          <w:lang w:eastAsia="en-US"/>
        </w:rPr>
        <w:t xml:space="preserve">aze </w:t>
      </w:r>
      <w:r w:rsidRPr="008C100C">
        <w:rPr>
          <w:rFonts w:eastAsiaTheme="minorHAnsi"/>
          <w:color w:val="2D2728"/>
          <w:lang w:eastAsia="en-US"/>
        </w:rPr>
        <w:t>r</w:t>
      </w:r>
      <w:r w:rsidRPr="008C100C">
        <w:rPr>
          <w:rFonts w:eastAsiaTheme="minorHAnsi"/>
          <w:color w:val="454142"/>
          <w:lang w:eastAsia="en-US"/>
        </w:rPr>
        <w:t>az</w:t>
      </w:r>
      <w:r w:rsidRPr="008C100C">
        <w:rPr>
          <w:rFonts w:eastAsiaTheme="minorHAnsi"/>
          <w:color w:val="2D2728"/>
          <w:lang w:eastAsia="en-US"/>
        </w:rPr>
        <w:t>r</w:t>
      </w:r>
      <w:r w:rsidRPr="008C100C">
        <w:rPr>
          <w:rFonts w:eastAsiaTheme="minorHAnsi"/>
          <w:color w:val="454142"/>
          <w:lang w:eastAsia="en-US"/>
        </w:rPr>
        <w:t xml:space="preserve">eda c </w:t>
      </w:r>
      <w:r w:rsidRPr="008C100C">
        <w:rPr>
          <w:rFonts w:eastAsiaTheme="minorHAnsi"/>
          <w:color w:val="2D2728"/>
          <w:lang w:eastAsia="en-US"/>
        </w:rPr>
        <w:t>ili karb</w:t>
      </w:r>
      <w:r w:rsidRPr="008C100C">
        <w:rPr>
          <w:rFonts w:eastAsiaTheme="minorHAnsi"/>
          <w:color w:val="454142"/>
          <w:lang w:eastAsia="en-US"/>
        </w:rPr>
        <w:t>a</w:t>
      </w:r>
      <w:r w:rsidRPr="008C100C">
        <w:rPr>
          <w:rFonts w:eastAsiaTheme="minorHAnsi"/>
          <w:color w:val="2D2728"/>
          <w:lang w:eastAsia="en-US"/>
        </w:rPr>
        <w:t>p</w:t>
      </w:r>
      <w:r w:rsidRPr="008C100C">
        <w:rPr>
          <w:rFonts w:eastAsiaTheme="minorHAnsi"/>
          <w:color w:val="454142"/>
          <w:lang w:eastAsia="en-US"/>
        </w:rPr>
        <w:t>e</w:t>
      </w:r>
      <w:r w:rsidRPr="008C100C">
        <w:rPr>
          <w:rFonts w:eastAsiaTheme="minorHAnsi"/>
          <w:color w:val="2D2728"/>
          <w:lang w:eastAsia="en-US"/>
        </w:rPr>
        <w:t>n</w:t>
      </w:r>
      <w:r w:rsidRPr="008C100C">
        <w:rPr>
          <w:rFonts w:eastAsiaTheme="minorHAnsi"/>
          <w:color w:val="454142"/>
          <w:lang w:eastAsia="en-US"/>
        </w:rPr>
        <w:t>e</w:t>
      </w:r>
      <w:r w:rsidRPr="008C100C">
        <w:rPr>
          <w:rFonts w:eastAsiaTheme="minorHAnsi"/>
          <w:color w:val="2D2728"/>
          <w:lang w:eastAsia="en-US"/>
        </w:rPr>
        <w:t>m</w:t>
      </w:r>
      <w:r w:rsidRPr="008C100C">
        <w:rPr>
          <w:rFonts w:eastAsiaTheme="minorHAnsi"/>
          <w:color w:val="454142"/>
          <w:lang w:eastAsia="en-US"/>
        </w:rPr>
        <w:t>aze</w:t>
      </w:r>
      <w:r w:rsidR="00CD14B7">
        <w:rPr>
          <w:rFonts w:eastAsiaTheme="minorHAnsi"/>
          <w:color w:val="454142"/>
          <w:lang w:eastAsia="en-US"/>
        </w:rPr>
        <w:t>,</w:t>
      </w:r>
      <w:r w:rsidRPr="008C100C">
        <w:rPr>
          <w:rFonts w:eastAsiaTheme="minorHAnsi"/>
          <w:color w:val="454142"/>
          <w:lang w:eastAsia="en-US"/>
        </w:rPr>
        <w:t xml:space="preserve"> </w:t>
      </w:r>
      <w:r w:rsidRPr="008C100C">
        <w:rPr>
          <w:rFonts w:eastAsiaTheme="minorHAnsi"/>
          <w:color w:val="2D2728"/>
          <w:lang w:eastAsia="en-US"/>
        </w:rPr>
        <w:t>uključ</w:t>
      </w:r>
      <w:r w:rsidRPr="008C100C">
        <w:rPr>
          <w:rFonts w:eastAsiaTheme="minorHAnsi"/>
          <w:color w:val="454142"/>
          <w:lang w:eastAsia="en-US"/>
        </w:rPr>
        <w:t>e</w:t>
      </w:r>
      <w:r w:rsidRPr="008C100C">
        <w:rPr>
          <w:rFonts w:eastAsiaTheme="minorHAnsi"/>
          <w:color w:val="2D2728"/>
          <w:lang w:eastAsia="en-US"/>
        </w:rPr>
        <w:t>n</w:t>
      </w:r>
      <w:r w:rsidRPr="008C100C">
        <w:rPr>
          <w:rFonts w:eastAsiaTheme="minorHAnsi"/>
          <w:color w:val="454142"/>
          <w:lang w:eastAsia="en-US"/>
        </w:rPr>
        <w:t>e s</w:t>
      </w:r>
      <w:r w:rsidRPr="008C100C">
        <w:rPr>
          <w:rFonts w:eastAsiaTheme="minorHAnsi"/>
          <w:color w:val="2D2728"/>
          <w:lang w:eastAsia="en-US"/>
        </w:rPr>
        <w:t xml:space="preserve">u </w:t>
      </w:r>
      <w:r w:rsidRPr="008C100C">
        <w:rPr>
          <w:rFonts w:eastAsiaTheme="minorHAnsi"/>
          <w:color w:val="454142"/>
          <w:lang w:eastAsia="en-US"/>
        </w:rPr>
        <w:t>u go</w:t>
      </w:r>
      <w:r w:rsidRPr="008C100C">
        <w:rPr>
          <w:rFonts w:eastAsiaTheme="minorHAnsi"/>
          <w:color w:val="2D2728"/>
          <w:lang w:eastAsia="en-US"/>
        </w:rPr>
        <w:t>dišnji Pl</w:t>
      </w:r>
      <w:r w:rsidRPr="008C100C">
        <w:rPr>
          <w:rFonts w:eastAsiaTheme="minorHAnsi"/>
          <w:color w:val="454142"/>
          <w:lang w:eastAsia="en-US"/>
        </w:rPr>
        <w:t>a</w:t>
      </w:r>
      <w:r w:rsidRPr="008C100C">
        <w:rPr>
          <w:rFonts w:eastAsiaTheme="minorHAnsi"/>
          <w:color w:val="2D2728"/>
          <w:lang w:eastAsia="en-US"/>
        </w:rPr>
        <w:t>n u</w:t>
      </w:r>
      <w:r w:rsidRPr="008C100C">
        <w:rPr>
          <w:rFonts w:eastAsiaTheme="minorHAnsi"/>
          <w:color w:val="454142"/>
          <w:lang w:eastAsia="en-US"/>
        </w:rPr>
        <w:t>zo</w:t>
      </w:r>
      <w:r w:rsidRPr="008C100C">
        <w:rPr>
          <w:rFonts w:eastAsiaTheme="minorHAnsi"/>
          <w:color w:val="2D2728"/>
          <w:lang w:eastAsia="en-US"/>
        </w:rPr>
        <w:t>rk</w:t>
      </w:r>
      <w:r w:rsidRPr="008C100C">
        <w:rPr>
          <w:rFonts w:eastAsiaTheme="minorHAnsi"/>
          <w:color w:val="454142"/>
          <w:lang w:eastAsia="en-US"/>
        </w:rPr>
        <w:t>ovan</w:t>
      </w:r>
      <w:r w:rsidRPr="008C100C">
        <w:rPr>
          <w:rFonts w:eastAsiaTheme="minorHAnsi"/>
          <w:color w:val="2D2728"/>
          <w:lang w:eastAsia="en-US"/>
        </w:rPr>
        <w:t>ja hr</w:t>
      </w:r>
      <w:r w:rsidRPr="008C100C">
        <w:rPr>
          <w:rFonts w:eastAsiaTheme="minorHAnsi"/>
          <w:color w:val="454142"/>
          <w:lang w:eastAsia="en-US"/>
        </w:rPr>
        <w:t>ane ž</w:t>
      </w:r>
      <w:r w:rsidRPr="008C100C">
        <w:rPr>
          <w:rFonts w:eastAsiaTheme="minorHAnsi"/>
          <w:color w:val="2D2728"/>
          <w:lang w:eastAsia="en-US"/>
        </w:rPr>
        <w:t>i</w:t>
      </w:r>
      <w:r w:rsidRPr="008C100C">
        <w:rPr>
          <w:rFonts w:eastAsiaTheme="minorHAnsi"/>
          <w:color w:val="454142"/>
          <w:lang w:eastAsia="en-US"/>
        </w:rPr>
        <w:t>vo</w:t>
      </w:r>
      <w:r w:rsidRPr="008C100C">
        <w:rPr>
          <w:rFonts w:eastAsiaTheme="minorHAnsi"/>
          <w:color w:val="2D2728"/>
          <w:lang w:eastAsia="en-US"/>
        </w:rPr>
        <w:t>tinj</w:t>
      </w:r>
      <w:r w:rsidRPr="008C100C">
        <w:rPr>
          <w:rFonts w:eastAsiaTheme="minorHAnsi"/>
          <w:color w:val="454142"/>
          <w:lang w:eastAsia="en-US"/>
        </w:rPr>
        <w:t>s</w:t>
      </w:r>
      <w:r w:rsidRPr="008C100C">
        <w:rPr>
          <w:rFonts w:eastAsiaTheme="minorHAnsi"/>
          <w:color w:val="2D2728"/>
          <w:lang w:eastAsia="en-US"/>
        </w:rPr>
        <w:t>k</w:t>
      </w:r>
      <w:r w:rsidRPr="008C100C">
        <w:rPr>
          <w:rFonts w:eastAsiaTheme="minorHAnsi"/>
          <w:color w:val="454142"/>
          <w:lang w:eastAsia="en-US"/>
        </w:rPr>
        <w:t>o</w:t>
      </w:r>
      <w:r w:rsidRPr="008C100C">
        <w:rPr>
          <w:rFonts w:eastAsiaTheme="minorHAnsi"/>
          <w:color w:val="2D2728"/>
          <w:lang w:eastAsia="en-US"/>
        </w:rPr>
        <w:t>g p</w:t>
      </w:r>
      <w:r w:rsidRPr="008C100C">
        <w:rPr>
          <w:rFonts w:eastAsiaTheme="minorHAnsi"/>
          <w:color w:val="454142"/>
          <w:lang w:eastAsia="en-US"/>
        </w:rPr>
        <w:t>o</w:t>
      </w:r>
      <w:r w:rsidRPr="008C100C">
        <w:rPr>
          <w:rFonts w:eastAsiaTheme="minorHAnsi"/>
          <w:color w:val="2D2728"/>
          <w:lang w:eastAsia="en-US"/>
        </w:rPr>
        <w:t>dri</w:t>
      </w:r>
      <w:r w:rsidRPr="008C100C">
        <w:rPr>
          <w:rFonts w:eastAsiaTheme="minorHAnsi"/>
          <w:color w:val="454142"/>
          <w:lang w:eastAsia="en-US"/>
        </w:rPr>
        <w:t>je</w:t>
      </w:r>
      <w:r w:rsidRPr="008C100C">
        <w:rPr>
          <w:rFonts w:eastAsiaTheme="minorHAnsi"/>
          <w:color w:val="2D2728"/>
          <w:lang w:eastAsia="en-US"/>
        </w:rPr>
        <w:t>tl</w:t>
      </w:r>
      <w:r w:rsidRPr="008C100C">
        <w:rPr>
          <w:rFonts w:eastAsiaTheme="minorHAnsi"/>
          <w:color w:val="454142"/>
          <w:lang w:eastAsia="en-US"/>
        </w:rPr>
        <w:t>a.</w:t>
      </w:r>
    </w:p>
    <w:p w:rsidR="00F409B3" w:rsidRDefault="00F409B3" w:rsidP="008C100C">
      <w:pPr>
        <w:autoSpaceDE w:val="0"/>
        <w:autoSpaceDN w:val="0"/>
        <w:adjustRightInd w:val="0"/>
        <w:jc w:val="both"/>
        <w:rPr>
          <w:rFonts w:eastAsiaTheme="minorHAnsi"/>
          <w:color w:val="2D2728"/>
          <w:sz w:val="23"/>
          <w:szCs w:val="23"/>
          <w:lang w:eastAsia="en-US"/>
        </w:rPr>
      </w:pPr>
      <w:r>
        <w:rPr>
          <w:rFonts w:eastAsiaTheme="minorHAnsi"/>
          <w:color w:val="2D2728"/>
          <w:sz w:val="23"/>
          <w:szCs w:val="23"/>
          <w:lang w:eastAsia="en-US"/>
        </w:rPr>
        <w:t>Mini</w:t>
      </w:r>
      <w:r>
        <w:rPr>
          <w:rFonts w:eastAsiaTheme="minorHAnsi"/>
          <w:color w:val="454142"/>
          <w:sz w:val="23"/>
          <w:szCs w:val="23"/>
          <w:lang w:eastAsia="en-US"/>
        </w:rPr>
        <w:t>s</w:t>
      </w:r>
      <w:r>
        <w:rPr>
          <w:rFonts w:eastAsiaTheme="minorHAnsi"/>
          <w:color w:val="2D2728"/>
          <w:sz w:val="23"/>
          <w:szCs w:val="23"/>
          <w:lang w:eastAsia="en-US"/>
        </w:rPr>
        <w:t>t</w:t>
      </w:r>
      <w:r>
        <w:rPr>
          <w:rFonts w:eastAsiaTheme="minorHAnsi"/>
          <w:color w:val="454142"/>
          <w:sz w:val="23"/>
          <w:szCs w:val="23"/>
          <w:lang w:eastAsia="en-US"/>
        </w:rPr>
        <w:t>a</w:t>
      </w:r>
      <w:r>
        <w:rPr>
          <w:rFonts w:eastAsiaTheme="minorHAnsi"/>
          <w:color w:val="2D2728"/>
          <w:sz w:val="23"/>
          <w:szCs w:val="23"/>
          <w:lang w:eastAsia="en-US"/>
        </w:rPr>
        <w:t>r</w:t>
      </w:r>
      <w:r>
        <w:rPr>
          <w:rFonts w:eastAsiaTheme="minorHAnsi"/>
          <w:color w:val="454142"/>
          <w:sz w:val="23"/>
          <w:szCs w:val="23"/>
          <w:lang w:eastAsia="en-US"/>
        </w:rPr>
        <w:t>s</w:t>
      </w:r>
      <w:r>
        <w:rPr>
          <w:rFonts w:eastAsiaTheme="minorHAnsi"/>
          <w:color w:val="2D2728"/>
          <w:sz w:val="23"/>
          <w:szCs w:val="23"/>
          <w:lang w:eastAsia="en-US"/>
        </w:rPr>
        <w:t>tv</w:t>
      </w:r>
      <w:r>
        <w:rPr>
          <w:rFonts w:eastAsiaTheme="minorHAnsi"/>
          <w:color w:val="454142"/>
          <w:sz w:val="23"/>
          <w:szCs w:val="23"/>
          <w:lang w:eastAsia="en-US"/>
        </w:rPr>
        <w:t>o poljoprivrede,</w:t>
      </w:r>
      <w:r w:rsidR="00531EF3">
        <w:rPr>
          <w:rFonts w:eastAsiaTheme="minorHAnsi"/>
          <w:color w:val="454142"/>
          <w:sz w:val="23"/>
          <w:szCs w:val="23"/>
          <w:lang w:eastAsia="en-US"/>
        </w:rPr>
        <w:t xml:space="preserve"> </w:t>
      </w:r>
      <w:r>
        <w:rPr>
          <w:rFonts w:eastAsiaTheme="minorHAnsi"/>
          <w:color w:val="454142"/>
          <w:sz w:val="23"/>
          <w:szCs w:val="23"/>
          <w:lang w:eastAsia="en-US"/>
        </w:rPr>
        <w:t>u s</w:t>
      </w:r>
      <w:r>
        <w:rPr>
          <w:rFonts w:eastAsiaTheme="minorHAnsi"/>
          <w:color w:val="2D2728"/>
          <w:sz w:val="23"/>
          <w:szCs w:val="23"/>
          <w:lang w:eastAsia="en-US"/>
        </w:rPr>
        <w:t>kl</w:t>
      </w:r>
      <w:r>
        <w:rPr>
          <w:rFonts w:eastAsiaTheme="minorHAnsi"/>
          <w:color w:val="454142"/>
          <w:sz w:val="23"/>
          <w:szCs w:val="23"/>
          <w:lang w:eastAsia="en-US"/>
        </w:rPr>
        <w:t>a</w:t>
      </w:r>
      <w:r>
        <w:rPr>
          <w:rFonts w:eastAsiaTheme="minorHAnsi"/>
          <w:color w:val="2D2728"/>
          <w:sz w:val="23"/>
          <w:szCs w:val="23"/>
          <w:lang w:eastAsia="en-US"/>
        </w:rPr>
        <w:t xml:space="preserve">du </w:t>
      </w:r>
      <w:r>
        <w:rPr>
          <w:rFonts w:eastAsiaTheme="minorHAnsi"/>
          <w:color w:val="454142"/>
          <w:sz w:val="23"/>
          <w:szCs w:val="23"/>
          <w:lang w:eastAsia="en-US"/>
        </w:rPr>
        <w:t xml:space="preserve">sa </w:t>
      </w:r>
      <w:r>
        <w:rPr>
          <w:rFonts w:eastAsiaTheme="minorHAnsi"/>
          <w:color w:val="2D2728"/>
          <w:sz w:val="23"/>
          <w:szCs w:val="23"/>
          <w:lang w:eastAsia="en-US"/>
        </w:rPr>
        <w:t>proj</w:t>
      </w:r>
      <w:r>
        <w:rPr>
          <w:rFonts w:eastAsiaTheme="minorHAnsi"/>
          <w:color w:val="454142"/>
          <w:sz w:val="23"/>
          <w:szCs w:val="23"/>
          <w:lang w:eastAsia="en-US"/>
        </w:rPr>
        <w:t>e</w:t>
      </w:r>
      <w:r>
        <w:rPr>
          <w:rFonts w:eastAsiaTheme="minorHAnsi"/>
          <w:color w:val="2D2728"/>
          <w:sz w:val="23"/>
          <w:szCs w:val="23"/>
          <w:lang w:eastAsia="en-US"/>
        </w:rPr>
        <w:t xml:space="preserve">ktom </w:t>
      </w:r>
      <w:r>
        <w:rPr>
          <w:rFonts w:eastAsiaTheme="minorHAnsi"/>
          <w:color w:val="454142"/>
          <w:sz w:val="23"/>
          <w:szCs w:val="23"/>
          <w:lang w:eastAsia="en-US"/>
        </w:rPr>
        <w:t>E</w:t>
      </w:r>
      <w:r>
        <w:rPr>
          <w:rFonts w:eastAsiaTheme="minorHAnsi"/>
          <w:color w:val="2D2728"/>
          <w:sz w:val="23"/>
          <w:szCs w:val="23"/>
          <w:lang w:eastAsia="en-US"/>
        </w:rPr>
        <w:t>ur</w:t>
      </w:r>
      <w:r>
        <w:rPr>
          <w:rFonts w:eastAsiaTheme="minorHAnsi"/>
          <w:color w:val="454142"/>
          <w:sz w:val="23"/>
          <w:szCs w:val="23"/>
          <w:lang w:eastAsia="en-US"/>
        </w:rPr>
        <w:t>o</w:t>
      </w:r>
      <w:r>
        <w:rPr>
          <w:rFonts w:eastAsiaTheme="minorHAnsi"/>
          <w:color w:val="2D2728"/>
          <w:sz w:val="23"/>
          <w:szCs w:val="23"/>
          <w:lang w:eastAsia="en-US"/>
        </w:rPr>
        <w:t xml:space="preserve">pean </w:t>
      </w:r>
      <w:r>
        <w:rPr>
          <w:rFonts w:eastAsiaTheme="minorHAnsi"/>
          <w:color w:val="454142"/>
          <w:sz w:val="23"/>
          <w:szCs w:val="23"/>
          <w:lang w:eastAsia="en-US"/>
        </w:rPr>
        <w:t>S</w:t>
      </w:r>
      <w:r>
        <w:rPr>
          <w:rFonts w:eastAsiaTheme="minorHAnsi"/>
          <w:color w:val="2D2728"/>
          <w:sz w:val="23"/>
          <w:szCs w:val="23"/>
          <w:lang w:eastAsia="en-US"/>
        </w:rPr>
        <w:t>u</w:t>
      </w:r>
      <w:r>
        <w:rPr>
          <w:rFonts w:eastAsiaTheme="minorHAnsi"/>
          <w:color w:val="454142"/>
          <w:sz w:val="23"/>
          <w:szCs w:val="23"/>
          <w:lang w:eastAsia="en-US"/>
        </w:rPr>
        <w:t>rye</w:t>
      </w:r>
      <w:r>
        <w:rPr>
          <w:rFonts w:eastAsiaTheme="minorHAnsi"/>
          <w:color w:val="2D2728"/>
          <w:sz w:val="23"/>
          <w:szCs w:val="23"/>
          <w:lang w:eastAsia="en-US"/>
        </w:rPr>
        <w:t>illan</w:t>
      </w:r>
      <w:r>
        <w:rPr>
          <w:rFonts w:eastAsiaTheme="minorHAnsi"/>
          <w:color w:val="454142"/>
          <w:sz w:val="23"/>
          <w:szCs w:val="23"/>
          <w:lang w:eastAsia="en-US"/>
        </w:rPr>
        <w:t xml:space="preserve">ce </w:t>
      </w:r>
      <w:r>
        <w:rPr>
          <w:rFonts w:eastAsiaTheme="minorHAnsi"/>
          <w:color w:val="2D2728"/>
          <w:sz w:val="23"/>
          <w:szCs w:val="23"/>
          <w:lang w:eastAsia="en-US"/>
        </w:rPr>
        <w:t>o</w:t>
      </w:r>
      <w:r>
        <w:rPr>
          <w:rFonts w:eastAsiaTheme="minorHAnsi"/>
          <w:color w:val="454142"/>
          <w:sz w:val="23"/>
          <w:szCs w:val="23"/>
          <w:lang w:eastAsia="en-US"/>
        </w:rPr>
        <w:t xml:space="preserve">f </w:t>
      </w:r>
      <w:r>
        <w:rPr>
          <w:rFonts w:eastAsiaTheme="minorHAnsi"/>
          <w:color w:val="2D2728"/>
          <w:sz w:val="23"/>
          <w:szCs w:val="23"/>
          <w:lang w:eastAsia="en-US"/>
        </w:rPr>
        <w:t>Vet</w:t>
      </w:r>
      <w:r>
        <w:rPr>
          <w:rFonts w:eastAsiaTheme="minorHAnsi"/>
          <w:color w:val="454142"/>
          <w:sz w:val="23"/>
          <w:szCs w:val="23"/>
          <w:lang w:eastAsia="en-US"/>
        </w:rPr>
        <w:t>e</w:t>
      </w:r>
      <w:r>
        <w:rPr>
          <w:rFonts w:eastAsiaTheme="minorHAnsi"/>
          <w:color w:val="2D2728"/>
          <w:sz w:val="23"/>
          <w:szCs w:val="23"/>
          <w:lang w:eastAsia="en-US"/>
        </w:rPr>
        <w:t>rin</w:t>
      </w:r>
      <w:r>
        <w:rPr>
          <w:rFonts w:eastAsiaTheme="minorHAnsi"/>
          <w:color w:val="454142"/>
          <w:sz w:val="23"/>
          <w:szCs w:val="23"/>
          <w:lang w:eastAsia="en-US"/>
        </w:rPr>
        <w:t>a</w:t>
      </w:r>
      <w:r>
        <w:rPr>
          <w:rFonts w:eastAsiaTheme="minorHAnsi"/>
          <w:color w:val="2D2728"/>
          <w:sz w:val="23"/>
          <w:szCs w:val="23"/>
          <w:lang w:eastAsia="en-US"/>
        </w:rPr>
        <w:t>r</w:t>
      </w:r>
      <w:r>
        <w:rPr>
          <w:rFonts w:eastAsiaTheme="minorHAnsi"/>
          <w:color w:val="454142"/>
          <w:sz w:val="23"/>
          <w:szCs w:val="23"/>
          <w:lang w:eastAsia="en-US"/>
        </w:rPr>
        <w:t>y A</w:t>
      </w:r>
      <w:r>
        <w:rPr>
          <w:rFonts w:eastAsiaTheme="minorHAnsi"/>
          <w:color w:val="2D2728"/>
          <w:sz w:val="23"/>
          <w:szCs w:val="23"/>
          <w:lang w:eastAsia="en-US"/>
        </w:rPr>
        <w:t>ntimicr</w:t>
      </w:r>
      <w:r>
        <w:rPr>
          <w:rFonts w:eastAsiaTheme="minorHAnsi"/>
          <w:color w:val="454142"/>
          <w:sz w:val="23"/>
          <w:szCs w:val="23"/>
          <w:lang w:eastAsia="en-US"/>
        </w:rPr>
        <w:t>o</w:t>
      </w:r>
      <w:r>
        <w:rPr>
          <w:rFonts w:eastAsiaTheme="minorHAnsi"/>
          <w:color w:val="2D2728"/>
          <w:sz w:val="23"/>
          <w:szCs w:val="23"/>
          <w:lang w:eastAsia="en-US"/>
        </w:rPr>
        <w:t>bi</w:t>
      </w:r>
      <w:r>
        <w:rPr>
          <w:rFonts w:eastAsiaTheme="minorHAnsi"/>
          <w:color w:val="454142"/>
          <w:sz w:val="23"/>
          <w:szCs w:val="23"/>
          <w:lang w:eastAsia="en-US"/>
        </w:rPr>
        <w:t>a</w:t>
      </w:r>
      <w:r>
        <w:rPr>
          <w:rFonts w:eastAsiaTheme="minorHAnsi"/>
          <w:color w:val="2D2728"/>
          <w:sz w:val="23"/>
          <w:szCs w:val="23"/>
          <w:lang w:eastAsia="en-US"/>
        </w:rPr>
        <w:t xml:space="preserve">l </w:t>
      </w:r>
      <w:r>
        <w:rPr>
          <w:rFonts w:eastAsiaTheme="minorHAnsi"/>
          <w:color w:val="454142"/>
          <w:sz w:val="23"/>
          <w:szCs w:val="23"/>
          <w:lang w:eastAsia="en-US"/>
        </w:rPr>
        <w:t>Co</w:t>
      </w:r>
      <w:r>
        <w:rPr>
          <w:rFonts w:eastAsiaTheme="minorHAnsi"/>
          <w:color w:val="2D2728"/>
          <w:sz w:val="23"/>
          <w:szCs w:val="23"/>
          <w:lang w:eastAsia="en-US"/>
        </w:rPr>
        <w:t>n</w:t>
      </w:r>
      <w:r>
        <w:rPr>
          <w:rFonts w:eastAsiaTheme="minorHAnsi"/>
          <w:color w:val="454142"/>
          <w:sz w:val="23"/>
          <w:szCs w:val="23"/>
          <w:lang w:eastAsia="en-US"/>
        </w:rPr>
        <w:t>s</w:t>
      </w:r>
      <w:r>
        <w:rPr>
          <w:rFonts w:eastAsiaTheme="minorHAnsi"/>
          <w:color w:val="2D2728"/>
          <w:sz w:val="23"/>
          <w:szCs w:val="23"/>
          <w:lang w:eastAsia="en-US"/>
        </w:rPr>
        <w:t>umpti</w:t>
      </w:r>
      <w:r>
        <w:rPr>
          <w:rFonts w:eastAsiaTheme="minorHAnsi"/>
          <w:color w:val="454142"/>
          <w:sz w:val="23"/>
          <w:szCs w:val="23"/>
          <w:lang w:eastAsia="en-US"/>
        </w:rPr>
        <w:t>o</w:t>
      </w:r>
      <w:r>
        <w:rPr>
          <w:rFonts w:eastAsiaTheme="minorHAnsi"/>
          <w:color w:val="2D2728"/>
          <w:sz w:val="23"/>
          <w:szCs w:val="23"/>
          <w:lang w:eastAsia="en-US"/>
        </w:rPr>
        <w:t xml:space="preserve">n </w:t>
      </w:r>
      <w:r>
        <w:rPr>
          <w:rFonts w:eastAsiaTheme="minorHAnsi"/>
          <w:color w:val="454142"/>
          <w:sz w:val="23"/>
          <w:szCs w:val="23"/>
          <w:lang w:eastAsia="en-US"/>
        </w:rPr>
        <w:t>(ES</w:t>
      </w:r>
      <w:r>
        <w:rPr>
          <w:rFonts w:eastAsiaTheme="minorHAnsi"/>
          <w:color w:val="2D2728"/>
          <w:sz w:val="23"/>
          <w:szCs w:val="23"/>
          <w:lang w:eastAsia="en-US"/>
        </w:rPr>
        <w:t>V</w:t>
      </w:r>
      <w:r>
        <w:rPr>
          <w:rFonts w:eastAsiaTheme="minorHAnsi"/>
          <w:color w:val="454142"/>
          <w:sz w:val="23"/>
          <w:szCs w:val="23"/>
          <w:lang w:eastAsia="en-US"/>
        </w:rPr>
        <w:t>AC) E</w:t>
      </w:r>
      <w:r>
        <w:rPr>
          <w:rFonts w:eastAsiaTheme="minorHAnsi"/>
          <w:color w:val="2D2728"/>
          <w:sz w:val="23"/>
          <w:szCs w:val="23"/>
          <w:lang w:eastAsia="en-US"/>
        </w:rPr>
        <w:t>ur</w:t>
      </w:r>
      <w:r>
        <w:rPr>
          <w:rFonts w:eastAsiaTheme="minorHAnsi"/>
          <w:color w:val="454142"/>
          <w:sz w:val="23"/>
          <w:szCs w:val="23"/>
          <w:lang w:eastAsia="en-US"/>
        </w:rPr>
        <w:t>o</w:t>
      </w:r>
      <w:r>
        <w:rPr>
          <w:rFonts w:eastAsiaTheme="minorHAnsi"/>
          <w:color w:val="2D2728"/>
          <w:sz w:val="23"/>
          <w:szCs w:val="23"/>
          <w:lang w:eastAsia="en-US"/>
        </w:rPr>
        <w:t>p</w:t>
      </w:r>
      <w:r>
        <w:rPr>
          <w:rFonts w:eastAsiaTheme="minorHAnsi"/>
          <w:color w:val="454142"/>
          <w:sz w:val="23"/>
          <w:szCs w:val="23"/>
          <w:lang w:eastAsia="en-US"/>
        </w:rPr>
        <w:t>s</w:t>
      </w:r>
      <w:r>
        <w:rPr>
          <w:rFonts w:eastAsiaTheme="minorHAnsi"/>
          <w:color w:val="2D2728"/>
          <w:sz w:val="23"/>
          <w:szCs w:val="23"/>
          <w:lang w:eastAsia="en-US"/>
        </w:rPr>
        <w:t>k</w:t>
      </w:r>
      <w:r>
        <w:rPr>
          <w:rFonts w:eastAsiaTheme="minorHAnsi"/>
          <w:color w:val="454142"/>
          <w:sz w:val="23"/>
          <w:szCs w:val="23"/>
          <w:lang w:eastAsia="en-US"/>
        </w:rPr>
        <w:t>e age</w:t>
      </w:r>
      <w:r>
        <w:rPr>
          <w:rFonts w:eastAsiaTheme="minorHAnsi"/>
          <w:color w:val="2D2728"/>
          <w:sz w:val="23"/>
          <w:szCs w:val="23"/>
          <w:lang w:eastAsia="en-US"/>
        </w:rPr>
        <w:t>n</w:t>
      </w:r>
      <w:r>
        <w:rPr>
          <w:rFonts w:eastAsiaTheme="minorHAnsi"/>
          <w:color w:val="454142"/>
          <w:sz w:val="23"/>
          <w:szCs w:val="23"/>
          <w:lang w:eastAsia="en-US"/>
        </w:rPr>
        <w:t>c</w:t>
      </w:r>
      <w:r>
        <w:rPr>
          <w:rFonts w:eastAsiaTheme="minorHAnsi"/>
          <w:color w:val="2D2728"/>
          <w:sz w:val="23"/>
          <w:szCs w:val="23"/>
          <w:lang w:eastAsia="en-US"/>
        </w:rPr>
        <w:t>ij</w:t>
      </w:r>
      <w:r>
        <w:rPr>
          <w:rFonts w:eastAsiaTheme="minorHAnsi"/>
          <w:color w:val="454142"/>
          <w:sz w:val="23"/>
          <w:szCs w:val="23"/>
          <w:lang w:eastAsia="en-US"/>
        </w:rPr>
        <w:t>e z</w:t>
      </w:r>
      <w:r>
        <w:rPr>
          <w:rFonts w:eastAsiaTheme="minorHAnsi"/>
          <w:color w:val="2D2728"/>
          <w:sz w:val="23"/>
          <w:szCs w:val="23"/>
          <w:lang w:eastAsia="en-US"/>
        </w:rPr>
        <w:t>a li</w:t>
      </w:r>
      <w:r>
        <w:rPr>
          <w:rFonts w:eastAsiaTheme="minorHAnsi"/>
          <w:color w:val="454142"/>
          <w:sz w:val="23"/>
          <w:szCs w:val="23"/>
          <w:lang w:eastAsia="en-US"/>
        </w:rPr>
        <w:t>jekove (EMA) s</w:t>
      </w:r>
      <w:r>
        <w:rPr>
          <w:rFonts w:eastAsiaTheme="minorHAnsi"/>
          <w:color w:val="2D2728"/>
          <w:sz w:val="23"/>
          <w:szCs w:val="23"/>
          <w:lang w:eastAsia="en-US"/>
        </w:rPr>
        <w:t>u</w:t>
      </w:r>
      <w:r>
        <w:rPr>
          <w:rFonts w:eastAsiaTheme="minorHAnsi"/>
          <w:color w:val="454142"/>
          <w:sz w:val="23"/>
          <w:szCs w:val="23"/>
          <w:lang w:eastAsia="en-US"/>
        </w:rPr>
        <w:t>s</w:t>
      </w:r>
      <w:r>
        <w:rPr>
          <w:rFonts w:eastAsiaTheme="minorHAnsi"/>
          <w:color w:val="2D2728"/>
          <w:sz w:val="23"/>
          <w:szCs w:val="23"/>
          <w:lang w:eastAsia="en-US"/>
        </w:rPr>
        <w:t>t</w:t>
      </w:r>
      <w:r>
        <w:rPr>
          <w:rFonts w:eastAsiaTheme="minorHAnsi"/>
          <w:color w:val="454142"/>
          <w:sz w:val="23"/>
          <w:szCs w:val="23"/>
          <w:lang w:eastAsia="en-US"/>
        </w:rPr>
        <w:t>av</w:t>
      </w:r>
      <w:r>
        <w:rPr>
          <w:rFonts w:eastAsiaTheme="minorHAnsi"/>
          <w:color w:val="2D2728"/>
          <w:sz w:val="23"/>
          <w:szCs w:val="23"/>
          <w:lang w:eastAsia="en-US"/>
        </w:rPr>
        <w:t>n</w:t>
      </w:r>
      <w:r>
        <w:rPr>
          <w:rFonts w:eastAsiaTheme="minorHAnsi"/>
          <w:color w:val="454142"/>
          <w:sz w:val="23"/>
          <w:szCs w:val="23"/>
          <w:lang w:eastAsia="en-US"/>
        </w:rPr>
        <w:t xml:space="preserve">o </w:t>
      </w:r>
      <w:r>
        <w:rPr>
          <w:rFonts w:eastAsiaTheme="minorHAnsi"/>
          <w:color w:val="2D2728"/>
          <w:sz w:val="23"/>
          <w:szCs w:val="23"/>
          <w:lang w:eastAsia="en-US"/>
        </w:rPr>
        <w:t>prikuplj</w:t>
      </w:r>
      <w:r>
        <w:rPr>
          <w:rFonts w:eastAsiaTheme="minorHAnsi"/>
          <w:color w:val="454142"/>
          <w:sz w:val="23"/>
          <w:szCs w:val="23"/>
          <w:lang w:eastAsia="en-US"/>
        </w:rPr>
        <w:t xml:space="preserve">a </w:t>
      </w:r>
      <w:r>
        <w:rPr>
          <w:rFonts w:eastAsiaTheme="minorHAnsi"/>
          <w:color w:val="2D2728"/>
          <w:sz w:val="23"/>
          <w:szCs w:val="23"/>
          <w:lang w:eastAsia="en-US"/>
        </w:rPr>
        <w:t>p</w:t>
      </w:r>
      <w:r>
        <w:rPr>
          <w:rFonts w:eastAsiaTheme="minorHAnsi"/>
          <w:color w:val="454142"/>
          <w:sz w:val="23"/>
          <w:szCs w:val="23"/>
          <w:lang w:eastAsia="en-US"/>
        </w:rPr>
        <w:t>oda</w:t>
      </w:r>
      <w:r>
        <w:rPr>
          <w:rFonts w:eastAsiaTheme="minorHAnsi"/>
          <w:color w:val="2D2728"/>
          <w:sz w:val="23"/>
          <w:szCs w:val="23"/>
          <w:lang w:eastAsia="en-US"/>
        </w:rPr>
        <w:t>tk</w:t>
      </w:r>
      <w:r>
        <w:rPr>
          <w:rFonts w:eastAsiaTheme="minorHAnsi"/>
          <w:color w:val="454142"/>
          <w:sz w:val="23"/>
          <w:szCs w:val="23"/>
          <w:lang w:eastAsia="en-US"/>
        </w:rPr>
        <w:t xml:space="preserve">e </w:t>
      </w:r>
      <w:r w:rsidR="00531EF3">
        <w:rPr>
          <w:rFonts w:eastAsiaTheme="minorHAnsi"/>
          <w:color w:val="454142"/>
          <w:sz w:val="23"/>
          <w:szCs w:val="23"/>
          <w:lang w:eastAsia="en-US"/>
        </w:rPr>
        <w:t>o</w:t>
      </w:r>
      <w:r>
        <w:rPr>
          <w:rFonts w:eastAsiaTheme="minorHAnsi"/>
          <w:color w:val="454142"/>
          <w:sz w:val="16"/>
          <w:szCs w:val="16"/>
          <w:lang w:eastAsia="en-US"/>
        </w:rPr>
        <w:t xml:space="preserve"> </w:t>
      </w:r>
      <w:r>
        <w:rPr>
          <w:rFonts w:eastAsiaTheme="minorHAnsi"/>
          <w:color w:val="2D2728"/>
          <w:sz w:val="23"/>
          <w:szCs w:val="23"/>
          <w:lang w:eastAsia="en-US"/>
        </w:rPr>
        <w:t>op</w:t>
      </w:r>
      <w:r>
        <w:rPr>
          <w:rFonts w:eastAsiaTheme="minorHAnsi"/>
          <w:color w:val="454142"/>
          <w:sz w:val="23"/>
          <w:szCs w:val="23"/>
          <w:lang w:eastAsia="en-US"/>
        </w:rPr>
        <w:t>seg</w:t>
      </w:r>
      <w:r>
        <w:rPr>
          <w:rFonts w:eastAsiaTheme="minorHAnsi"/>
          <w:color w:val="2D2728"/>
          <w:sz w:val="23"/>
          <w:szCs w:val="23"/>
          <w:lang w:eastAsia="en-US"/>
        </w:rPr>
        <w:t>u pr</w:t>
      </w:r>
      <w:r>
        <w:rPr>
          <w:rFonts w:eastAsiaTheme="minorHAnsi"/>
          <w:color w:val="454142"/>
          <w:sz w:val="23"/>
          <w:szCs w:val="23"/>
          <w:lang w:eastAsia="en-US"/>
        </w:rPr>
        <w:t>o</w:t>
      </w:r>
      <w:r>
        <w:rPr>
          <w:rFonts w:eastAsiaTheme="minorHAnsi"/>
          <w:color w:val="2D2728"/>
          <w:sz w:val="23"/>
          <w:szCs w:val="23"/>
          <w:lang w:eastAsia="en-US"/>
        </w:rPr>
        <w:t>d</w:t>
      </w:r>
      <w:r>
        <w:rPr>
          <w:rFonts w:eastAsiaTheme="minorHAnsi"/>
          <w:color w:val="454142"/>
          <w:sz w:val="23"/>
          <w:szCs w:val="23"/>
          <w:lang w:eastAsia="en-US"/>
        </w:rPr>
        <w:t>a</w:t>
      </w:r>
      <w:r>
        <w:rPr>
          <w:rFonts w:eastAsiaTheme="minorHAnsi"/>
          <w:color w:val="2D2728"/>
          <w:sz w:val="23"/>
          <w:szCs w:val="23"/>
          <w:lang w:eastAsia="en-US"/>
        </w:rPr>
        <w:t>j</w:t>
      </w:r>
      <w:r>
        <w:rPr>
          <w:rFonts w:eastAsiaTheme="minorHAnsi"/>
          <w:color w:val="454142"/>
          <w:sz w:val="23"/>
          <w:szCs w:val="23"/>
          <w:lang w:eastAsia="en-US"/>
        </w:rPr>
        <w:t xml:space="preserve">e </w:t>
      </w:r>
      <w:r>
        <w:rPr>
          <w:rFonts w:eastAsiaTheme="minorHAnsi"/>
          <w:color w:val="2D2728"/>
          <w:sz w:val="23"/>
          <w:szCs w:val="23"/>
          <w:lang w:eastAsia="en-US"/>
        </w:rPr>
        <w:t xml:space="preserve">antimikrobnih </w:t>
      </w:r>
      <w:r>
        <w:rPr>
          <w:rFonts w:eastAsiaTheme="minorHAnsi"/>
          <w:color w:val="454142"/>
          <w:sz w:val="23"/>
          <w:szCs w:val="23"/>
          <w:lang w:eastAsia="en-US"/>
        </w:rPr>
        <w:t>ve</w:t>
      </w:r>
      <w:r>
        <w:rPr>
          <w:rFonts w:eastAsiaTheme="minorHAnsi"/>
          <w:color w:val="2D2728"/>
          <w:sz w:val="23"/>
          <w:szCs w:val="23"/>
          <w:lang w:eastAsia="en-US"/>
        </w:rPr>
        <w:t>terinar</w:t>
      </w:r>
      <w:r>
        <w:rPr>
          <w:rFonts w:eastAsiaTheme="minorHAnsi"/>
          <w:color w:val="454142"/>
          <w:sz w:val="23"/>
          <w:szCs w:val="23"/>
          <w:lang w:eastAsia="en-US"/>
        </w:rPr>
        <w:t>s</w:t>
      </w:r>
      <w:r>
        <w:rPr>
          <w:rFonts w:eastAsiaTheme="minorHAnsi"/>
          <w:color w:val="2D2728"/>
          <w:sz w:val="23"/>
          <w:szCs w:val="23"/>
          <w:lang w:eastAsia="en-US"/>
        </w:rPr>
        <w:t>ko m</w:t>
      </w:r>
      <w:r>
        <w:rPr>
          <w:rFonts w:eastAsiaTheme="minorHAnsi"/>
          <w:color w:val="454142"/>
          <w:sz w:val="23"/>
          <w:szCs w:val="23"/>
          <w:lang w:eastAsia="en-US"/>
        </w:rPr>
        <w:t>e</w:t>
      </w:r>
      <w:r>
        <w:rPr>
          <w:rFonts w:eastAsiaTheme="minorHAnsi"/>
          <w:color w:val="2D2728"/>
          <w:sz w:val="23"/>
          <w:szCs w:val="23"/>
          <w:lang w:eastAsia="en-US"/>
        </w:rPr>
        <w:t>di</w:t>
      </w:r>
      <w:r>
        <w:rPr>
          <w:rFonts w:eastAsiaTheme="minorHAnsi"/>
          <w:color w:val="454142"/>
          <w:sz w:val="23"/>
          <w:szCs w:val="23"/>
          <w:lang w:eastAsia="en-US"/>
        </w:rPr>
        <w:t>c</w:t>
      </w:r>
      <w:r>
        <w:rPr>
          <w:rFonts w:eastAsiaTheme="minorHAnsi"/>
          <w:color w:val="2D2728"/>
          <w:sz w:val="23"/>
          <w:szCs w:val="23"/>
          <w:lang w:eastAsia="en-US"/>
        </w:rPr>
        <w:t>in</w:t>
      </w:r>
      <w:r>
        <w:rPr>
          <w:rFonts w:eastAsiaTheme="minorHAnsi"/>
          <w:color w:val="454142"/>
          <w:sz w:val="23"/>
          <w:szCs w:val="23"/>
          <w:lang w:eastAsia="en-US"/>
        </w:rPr>
        <w:t>s</w:t>
      </w:r>
      <w:r>
        <w:rPr>
          <w:rFonts w:eastAsiaTheme="minorHAnsi"/>
          <w:color w:val="2D2728"/>
          <w:sz w:val="23"/>
          <w:szCs w:val="23"/>
          <w:lang w:eastAsia="en-US"/>
        </w:rPr>
        <w:t>kih proi</w:t>
      </w:r>
      <w:r>
        <w:rPr>
          <w:rFonts w:eastAsiaTheme="minorHAnsi"/>
          <w:color w:val="454142"/>
          <w:sz w:val="23"/>
          <w:szCs w:val="23"/>
          <w:lang w:eastAsia="en-US"/>
        </w:rPr>
        <w:t>zvo</w:t>
      </w:r>
      <w:r>
        <w:rPr>
          <w:rFonts w:eastAsiaTheme="minorHAnsi"/>
          <w:color w:val="2D2728"/>
          <w:sz w:val="23"/>
          <w:szCs w:val="23"/>
          <w:lang w:eastAsia="en-US"/>
        </w:rPr>
        <w:t>d</w:t>
      </w:r>
      <w:r>
        <w:rPr>
          <w:rFonts w:eastAsiaTheme="minorHAnsi"/>
          <w:color w:val="454142"/>
          <w:sz w:val="23"/>
          <w:szCs w:val="23"/>
          <w:lang w:eastAsia="en-US"/>
        </w:rPr>
        <w:t>a (</w:t>
      </w:r>
      <w:r>
        <w:rPr>
          <w:rFonts w:eastAsiaTheme="minorHAnsi"/>
          <w:color w:val="2D2728"/>
          <w:sz w:val="23"/>
          <w:szCs w:val="23"/>
          <w:lang w:eastAsia="en-US"/>
        </w:rPr>
        <w:t>n</w:t>
      </w:r>
      <w:r>
        <w:rPr>
          <w:rFonts w:eastAsiaTheme="minorHAnsi"/>
          <w:color w:val="454142"/>
          <w:sz w:val="23"/>
          <w:szCs w:val="23"/>
          <w:lang w:eastAsia="en-US"/>
        </w:rPr>
        <w:t xml:space="preserve">a </w:t>
      </w:r>
      <w:r>
        <w:rPr>
          <w:rFonts w:eastAsiaTheme="minorHAnsi"/>
          <w:color w:val="2D2728"/>
          <w:sz w:val="23"/>
          <w:szCs w:val="23"/>
          <w:lang w:eastAsia="en-US"/>
        </w:rPr>
        <w:t>r</w:t>
      </w:r>
      <w:r>
        <w:rPr>
          <w:rFonts w:eastAsiaTheme="minorHAnsi"/>
          <w:color w:val="454142"/>
          <w:sz w:val="23"/>
          <w:szCs w:val="23"/>
          <w:lang w:eastAsia="en-US"/>
        </w:rPr>
        <w:t>az</w:t>
      </w:r>
      <w:r>
        <w:rPr>
          <w:rFonts w:eastAsiaTheme="minorHAnsi"/>
          <w:color w:val="2D2728"/>
          <w:sz w:val="23"/>
          <w:szCs w:val="23"/>
          <w:lang w:eastAsia="en-US"/>
        </w:rPr>
        <w:t xml:space="preserve">ini </w:t>
      </w:r>
      <w:r>
        <w:rPr>
          <w:rFonts w:eastAsiaTheme="minorHAnsi"/>
          <w:color w:val="454142"/>
          <w:sz w:val="23"/>
          <w:szCs w:val="23"/>
          <w:lang w:eastAsia="en-US"/>
        </w:rPr>
        <w:t>ve</w:t>
      </w:r>
      <w:r>
        <w:rPr>
          <w:rFonts w:eastAsiaTheme="minorHAnsi"/>
          <w:color w:val="2D2728"/>
          <w:sz w:val="23"/>
          <w:szCs w:val="23"/>
          <w:lang w:eastAsia="en-US"/>
        </w:rPr>
        <w:t>l</w:t>
      </w:r>
      <w:r>
        <w:rPr>
          <w:rFonts w:eastAsiaTheme="minorHAnsi"/>
          <w:color w:val="454142"/>
          <w:sz w:val="23"/>
          <w:szCs w:val="23"/>
          <w:lang w:eastAsia="en-US"/>
        </w:rPr>
        <w:t>e</w:t>
      </w:r>
      <w:r>
        <w:rPr>
          <w:rFonts w:eastAsiaTheme="minorHAnsi"/>
          <w:color w:val="2D2728"/>
          <w:sz w:val="23"/>
          <w:szCs w:val="23"/>
          <w:lang w:eastAsia="en-US"/>
        </w:rPr>
        <w:t>pr</w:t>
      </w:r>
      <w:r>
        <w:rPr>
          <w:rFonts w:eastAsiaTheme="minorHAnsi"/>
          <w:color w:val="454142"/>
          <w:sz w:val="23"/>
          <w:szCs w:val="23"/>
          <w:lang w:eastAsia="en-US"/>
        </w:rPr>
        <w:t>oda</w:t>
      </w:r>
      <w:r>
        <w:rPr>
          <w:rFonts w:eastAsiaTheme="minorHAnsi"/>
          <w:color w:val="2D2728"/>
          <w:sz w:val="23"/>
          <w:szCs w:val="23"/>
          <w:lang w:eastAsia="en-US"/>
        </w:rPr>
        <w:t>j</w:t>
      </w:r>
      <w:r>
        <w:rPr>
          <w:rFonts w:eastAsiaTheme="minorHAnsi"/>
          <w:color w:val="454142"/>
          <w:sz w:val="23"/>
          <w:szCs w:val="23"/>
          <w:lang w:eastAsia="en-US"/>
        </w:rPr>
        <w:t>e)</w:t>
      </w:r>
      <w:r>
        <w:rPr>
          <w:rFonts w:eastAsiaTheme="minorHAnsi"/>
          <w:color w:val="2D2728"/>
          <w:sz w:val="23"/>
          <w:szCs w:val="23"/>
          <w:lang w:eastAsia="en-US"/>
        </w:rPr>
        <w:t>.</w:t>
      </w:r>
    </w:p>
    <w:p w:rsidR="00F409B3" w:rsidRPr="003C48B9" w:rsidRDefault="00F409B3" w:rsidP="008C100C">
      <w:pPr>
        <w:autoSpaceDE w:val="0"/>
        <w:autoSpaceDN w:val="0"/>
        <w:adjustRightInd w:val="0"/>
      </w:pPr>
    </w:p>
    <w:p w:rsidR="003C48B9" w:rsidRPr="008C100C" w:rsidRDefault="003C48B9" w:rsidP="008C100C">
      <w:pPr>
        <w:autoSpaceDE w:val="0"/>
        <w:autoSpaceDN w:val="0"/>
        <w:adjustRightInd w:val="0"/>
        <w:jc w:val="both"/>
        <w:rPr>
          <w:rFonts w:eastAsiaTheme="minorHAnsi"/>
          <w:color w:val="2D2728"/>
          <w:lang w:eastAsia="en-US"/>
        </w:rPr>
      </w:pPr>
      <w:r w:rsidRPr="008C100C">
        <w:rPr>
          <w:rFonts w:eastAsiaTheme="minorHAnsi"/>
          <w:color w:val="2D2728"/>
          <w:lang w:eastAsia="en-US"/>
        </w:rPr>
        <w:t>R</w:t>
      </w:r>
      <w:r w:rsidRPr="008C100C">
        <w:rPr>
          <w:rFonts w:eastAsiaTheme="minorHAnsi"/>
          <w:color w:val="454142"/>
          <w:lang w:eastAsia="en-US"/>
        </w:rPr>
        <w:t>e</w:t>
      </w:r>
      <w:r w:rsidRPr="008C100C">
        <w:rPr>
          <w:rFonts w:eastAsiaTheme="minorHAnsi"/>
          <w:color w:val="2D2728"/>
          <w:lang w:eastAsia="en-US"/>
        </w:rPr>
        <w:t>zultati pr</w:t>
      </w:r>
      <w:r w:rsidRPr="008C100C">
        <w:rPr>
          <w:rFonts w:eastAsiaTheme="minorHAnsi"/>
          <w:color w:val="454142"/>
          <w:lang w:eastAsia="en-US"/>
        </w:rPr>
        <w:t>ać</w:t>
      </w:r>
      <w:r w:rsidRPr="008C100C">
        <w:rPr>
          <w:rFonts w:eastAsiaTheme="minorHAnsi"/>
          <w:color w:val="2D2728"/>
          <w:lang w:eastAsia="en-US"/>
        </w:rPr>
        <w:t>en</w:t>
      </w:r>
      <w:r w:rsidRPr="008C100C">
        <w:rPr>
          <w:rFonts w:eastAsiaTheme="minorHAnsi"/>
          <w:color w:val="454142"/>
          <w:lang w:eastAsia="en-US"/>
        </w:rPr>
        <w:t xml:space="preserve">ja </w:t>
      </w:r>
      <w:r w:rsidRPr="008C100C">
        <w:rPr>
          <w:rFonts w:eastAsiaTheme="minorHAnsi"/>
          <w:color w:val="2D2728"/>
          <w:lang w:eastAsia="en-US"/>
        </w:rPr>
        <w:t>p</w:t>
      </w:r>
      <w:r w:rsidRPr="008C100C">
        <w:rPr>
          <w:rFonts w:eastAsiaTheme="minorHAnsi"/>
          <w:color w:val="454142"/>
          <w:lang w:eastAsia="en-US"/>
        </w:rPr>
        <w:t>otroš</w:t>
      </w:r>
      <w:r w:rsidRPr="008C100C">
        <w:rPr>
          <w:rFonts w:eastAsiaTheme="minorHAnsi"/>
          <w:color w:val="2D2728"/>
          <w:lang w:eastAsia="en-US"/>
        </w:rPr>
        <w:t>n</w:t>
      </w:r>
      <w:r w:rsidRPr="008C100C">
        <w:rPr>
          <w:rFonts w:eastAsiaTheme="minorHAnsi"/>
          <w:color w:val="454142"/>
          <w:lang w:eastAsia="en-US"/>
        </w:rPr>
        <w:t xml:space="preserve">je </w:t>
      </w:r>
      <w:r w:rsidRPr="008C100C">
        <w:rPr>
          <w:rFonts w:eastAsiaTheme="minorHAnsi"/>
          <w:color w:val="2D2728"/>
          <w:lang w:eastAsia="en-US"/>
        </w:rPr>
        <w:t>an</w:t>
      </w:r>
      <w:r w:rsidRPr="008C100C">
        <w:rPr>
          <w:rFonts w:eastAsiaTheme="minorHAnsi"/>
          <w:color w:val="454142"/>
          <w:lang w:eastAsia="en-US"/>
        </w:rPr>
        <w:t>ti</w:t>
      </w:r>
      <w:r w:rsidRPr="008C100C">
        <w:rPr>
          <w:rFonts w:eastAsiaTheme="minorHAnsi"/>
          <w:color w:val="2D2728"/>
          <w:lang w:eastAsia="en-US"/>
        </w:rPr>
        <w:t>m</w:t>
      </w:r>
      <w:r w:rsidRPr="008C100C">
        <w:rPr>
          <w:rFonts w:eastAsiaTheme="minorHAnsi"/>
          <w:color w:val="454142"/>
          <w:lang w:eastAsia="en-US"/>
        </w:rPr>
        <w:t>i</w:t>
      </w:r>
      <w:r w:rsidRPr="008C100C">
        <w:rPr>
          <w:rFonts w:eastAsiaTheme="minorHAnsi"/>
          <w:color w:val="2D2728"/>
          <w:lang w:eastAsia="en-US"/>
        </w:rPr>
        <w:t>kr</w:t>
      </w:r>
      <w:r w:rsidRPr="008C100C">
        <w:rPr>
          <w:rFonts w:eastAsiaTheme="minorHAnsi"/>
          <w:color w:val="454142"/>
          <w:lang w:eastAsia="en-US"/>
        </w:rPr>
        <w:t>o</w:t>
      </w:r>
      <w:r w:rsidRPr="008C100C">
        <w:rPr>
          <w:rFonts w:eastAsiaTheme="minorHAnsi"/>
          <w:color w:val="2D2728"/>
          <w:lang w:eastAsia="en-US"/>
        </w:rPr>
        <w:t xml:space="preserve">bnih </w:t>
      </w:r>
      <w:r w:rsidRPr="008C100C">
        <w:rPr>
          <w:rFonts w:eastAsiaTheme="minorHAnsi"/>
          <w:color w:val="454142"/>
          <w:lang w:eastAsia="en-US"/>
        </w:rPr>
        <w:t>ve</w:t>
      </w:r>
      <w:r w:rsidRPr="008C100C">
        <w:rPr>
          <w:rFonts w:eastAsiaTheme="minorHAnsi"/>
          <w:color w:val="2D2728"/>
          <w:lang w:eastAsia="en-US"/>
        </w:rPr>
        <w:t>t</w:t>
      </w:r>
      <w:r w:rsidRPr="008C100C">
        <w:rPr>
          <w:rFonts w:eastAsiaTheme="minorHAnsi"/>
          <w:color w:val="454142"/>
          <w:lang w:eastAsia="en-US"/>
        </w:rPr>
        <w:t>e</w:t>
      </w:r>
      <w:r w:rsidRPr="008C100C">
        <w:rPr>
          <w:rFonts w:eastAsiaTheme="minorHAnsi"/>
          <w:color w:val="2D2728"/>
          <w:lang w:eastAsia="en-US"/>
        </w:rPr>
        <w:t>rin</w:t>
      </w:r>
      <w:r w:rsidRPr="008C100C">
        <w:rPr>
          <w:rFonts w:eastAsiaTheme="minorHAnsi"/>
          <w:color w:val="454142"/>
          <w:lang w:eastAsia="en-US"/>
        </w:rPr>
        <w:t xml:space="preserve">arsko </w:t>
      </w:r>
      <w:r w:rsidRPr="008C100C">
        <w:rPr>
          <w:rFonts w:eastAsiaTheme="minorHAnsi"/>
          <w:color w:val="2D2728"/>
          <w:lang w:eastAsia="en-US"/>
        </w:rPr>
        <w:t>m</w:t>
      </w:r>
      <w:r w:rsidRPr="008C100C">
        <w:rPr>
          <w:rFonts w:eastAsiaTheme="minorHAnsi"/>
          <w:color w:val="454142"/>
          <w:lang w:eastAsia="en-US"/>
        </w:rPr>
        <w:t>e</w:t>
      </w:r>
      <w:r w:rsidRPr="008C100C">
        <w:rPr>
          <w:rFonts w:eastAsiaTheme="minorHAnsi"/>
          <w:color w:val="2D2728"/>
          <w:lang w:eastAsia="en-US"/>
        </w:rPr>
        <w:t>d</w:t>
      </w:r>
      <w:r w:rsidRPr="008C100C">
        <w:rPr>
          <w:rFonts w:eastAsiaTheme="minorHAnsi"/>
          <w:color w:val="454142"/>
          <w:lang w:eastAsia="en-US"/>
        </w:rPr>
        <w:t>ic</w:t>
      </w:r>
      <w:r w:rsidRPr="008C100C">
        <w:rPr>
          <w:rFonts w:eastAsiaTheme="minorHAnsi"/>
          <w:color w:val="2D2728"/>
          <w:lang w:eastAsia="en-US"/>
        </w:rPr>
        <w:t>in</w:t>
      </w:r>
      <w:r w:rsidRPr="008C100C">
        <w:rPr>
          <w:rFonts w:eastAsiaTheme="minorHAnsi"/>
          <w:color w:val="454142"/>
          <w:lang w:eastAsia="en-US"/>
        </w:rPr>
        <w:t>s</w:t>
      </w:r>
      <w:r w:rsidRPr="008C100C">
        <w:rPr>
          <w:rFonts w:eastAsiaTheme="minorHAnsi"/>
          <w:color w:val="2D2728"/>
          <w:lang w:eastAsia="en-US"/>
        </w:rPr>
        <w:t>kih pr</w:t>
      </w:r>
      <w:r w:rsidRPr="008C100C">
        <w:rPr>
          <w:rFonts w:eastAsiaTheme="minorHAnsi"/>
          <w:color w:val="454142"/>
          <w:lang w:eastAsia="en-US"/>
        </w:rPr>
        <w:t>o</w:t>
      </w:r>
      <w:r w:rsidRPr="008C100C">
        <w:rPr>
          <w:rFonts w:eastAsiaTheme="minorHAnsi"/>
          <w:color w:val="2D2728"/>
          <w:lang w:eastAsia="en-US"/>
        </w:rPr>
        <w:t>i</w:t>
      </w:r>
      <w:r w:rsidRPr="008C100C">
        <w:rPr>
          <w:rFonts w:eastAsiaTheme="minorHAnsi"/>
          <w:color w:val="454142"/>
          <w:lang w:eastAsia="en-US"/>
        </w:rPr>
        <w:t>zvoda o</w:t>
      </w:r>
      <w:r w:rsidRPr="008C100C">
        <w:rPr>
          <w:rFonts w:eastAsiaTheme="minorHAnsi"/>
          <w:color w:val="2D2728"/>
          <w:lang w:eastAsia="en-US"/>
        </w:rPr>
        <w:t>m</w:t>
      </w:r>
      <w:r w:rsidRPr="008C100C">
        <w:rPr>
          <w:rFonts w:eastAsiaTheme="minorHAnsi"/>
          <w:color w:val="454142"/>
          <w:lang w:eastAsia="en-US"/>
        </w:rPr>
        <w:t>og</w:t>
      </w:r>
      <w:r w:rsidRPr="008C100C">
        <w:rPr>
          <w:rFonts w:eastAsiaTheme="minorHAnsi"/>
          <w:color w:val="2D2728"/>
          <w:lang w:eastAsia="en-US"/>
        </w:rPr>
        <w:t>ućuju:</w:t>
      </w:r>
    </w:p>
    <w:p w:rsidR="003C48B9" w:rsidRPr="008C100C" w:rsidRDefault="003C48B9" w:rsidP="008C100C">
      <w:pPr>
        <w:autoSpaceDE w:val="0"/>
        <w:autoSpaceDN w:val="0"/>
        <w:adjustRightInd w:val="0"/>
        <w:jc w:val="both"/>
        <w:rPr>
          <w:rFonts w:eastAsiaTheme="minorHAnsi"/>
          <w:color w:val="89878C"/>
          <w:lang w:eastAsia="en-US"/>
        </w:rPr>
      </w:pPr>
      <w:r w:rsidRPr="008C100C">
        <w:rPr>
          <w:rFonts w:eastAsiaTheme="minorHAnsi"/>
          <w:color w:val="180F11"/>
          <w:lang w:eastAsia="en-US"/>
        </w:rPr>
        <w:t xml:space="preserve">- </w:t>
      </w:r>
      <w:r w:rsidRPr="008C100C">
        <w:rPr>
          <w:rFonts w:eastAsiaTheme="minorHAnsi"/>
          <w:color w:val="2D2728"/>
          <w:lang w:eastAsia="en-US"/>
        </w:rPr>
        <w:t>i</w:t>
      </w:r>
      <w:r w:rsidRPr="008C100C">
        <w:rPr>
          <w:rFonts w:eastAsiaTheme="minorHAnsi"/>
          <w:color w:val="454142"/>
          <w:lang w:eastAsia="en-US"/>
        </w:rPr>
        <w:t>z</w:t>
      </w:r>
      <w:r w:rsidRPr="008C100C">
        <w:rPr>
          <w:rFonts w:eastAsiaTheme="minorHAnsi"/>
          <w:color w:val="2D2728"/>
          <w:lang w:eastAsia="en-US"/>
        </w:rPr>
        <w:t xml:space="preserve">radu </w:t>
      </w:r>
      <w:r w:rsidR="00CD14B7">
        <w:rPr>
          <w:rFonts w:eastAsiaTheme="minorHAnsi"/>
          <w:color w:val="454142"/>
          <w:lang w:eastAsia="en-US"/>
        </w:rPr>
        <w:t xml:space="preserve">Državnog </w:t>
      </w:r>
      <w:r w:rsidRPr="008C100C">
        <w:rPr>
          <w:rFonts w:eastAsiaTheme="minorHAnsi"/>
          <w:color w:val="2D2728"/>
          <w:lang w:eastAsia="en-US"/>
        </w:rPr>
        <w:t>p</w:t>
      </w:r>
      <w:r w:rsidRPr="008C100C">
        <w:rPr>
          <w:rFonts w:eastAsiaTheme="minorHAnsi"/>
          <w:color w:val="625F5F"/>
          <w:lang w:eastAsia="en-US"/>
        </w:rPr>
        <w:t>r</w:t>
      </w:r>
      <w:r w:rsidRPr="008C100C">
        <w:rPr>
          <w:rFonts w:eastAsiaTheme="minorHAnsi"/>
          <w:color w:val="454142"/>
          <w:lang w:eastAsia="en-US"/>
        </w:rPr>
        <w:t>og</w:t>
      </w:r>
      <w:r w:rsidRPr="008C100C">
        <w:rPr>
          <w:rFonts w:eastAsiaTheme="minorHAnsi"/>
          <w:color w:val="2D2728"/>
          <w:lang w:eastAsia="en-US"/>
        </w:rPr>
        <w:t>r</w:t>
      </w:r>
      <w:r w:rsidRPr="008C100C">
        <w:rPr>
          <w:rFonts w:eastAsiaTheme="minorHAnsi"/>
          <w:color w:val="454142"/>
          <w:lang w:eastAsia="en-US"/>
        </w:rPr>
        <w:t>a</w:t>
      </w:r>
      <w:r w:rsidRPr="008C100C">
        <w:rPr>
          <w:rFonts w:eastAsiaTheme="minorHAnsi"/>
          <w:color w:val="2D2728"/>
          <w:lang w:eastAsia="en-US"/>
        </w:rPr>
        <w:t>m</w:t>
      </w:r>
      <w:r w:rsidRPr="008C100C">
        <w:rPr>
          <w:rFonts w:eastAsiaTheme="minorHAnsi"/>
          <w:color w:val="454142"/>
          <w:lang w:eastAsia="en-US"/>
        </w:rPr>
        <w:t xml:space="preserve">a </w:t>
      </w:r>
      <w:r w:rsidRPr="008C100C">
        <w:rPr>
          <w:rFonts w:eastAsiaTheme="minorHAnsi"/>
          <w:color w:val="2D2728"/>
          <w:lang w:eastAsia="en-US"/>
        </w:rPr>
        <w:t>pra</w:t>
      </w:r>
      <w:r w:rsidRPr="008C100C">
        <w:rPr>
          <w:rFonts w:eastAsiaTheme="minorHAnsi"/>
          <w:color w:val="454142"/>
          <w:lang w:eastAsia="en-US"/>
        </w:rPr>
        <w:t>ć</w:t>
      </w:r>
      <w:r w:rsidRPr="008C100C">
        <w:rPr>
          <w:rFonts w:eastAsiaTheme="minorHAnsi"/>
          <w:color w:val="2D2728"/>
          <w:lang w:eastAsia="en-US"/>
        </w:rPr>
        <w:t>enja r</w:t>
      </w:r>
      <w:r w:rsidRPr="008C100C">
        <w:rPr>
          <w:rFonts w:eastAsiaTheme="minorHAnsi"/>
          <w:color w:val="454142"/>
          <w:lang w:eastAsia="en-US"/>
        </w:rPr>
        <w:t>ez</w:t>
      </w:r>
      <w:r w:rsidRPr="008C100C">
        <w:rPr>
          <w:rFonts w:eastAsiaTheme="minorHAnsi"/>
          <w:color w:val="2D2728"/>
          <w:lang w:eastAsia="en-US"/>
        </w:rPr>
        <w:t>idu</w:t>
      </w:r>
      <w:r w:rsidRPr="008C100C">
        <w:rPr>
          <w:rFonts w:eastAsiaTheme="minorHAnsi"/>
          <w:color w:val="454142"/>
          <w:lang w:eastAsia="en-US"/>
        </w:rPr>
        <w:t>a (</w:t>
      </w:r>
      <w:r w:rsidRPr="008C100C">
        <w:rPr>
          <w:rFonts w:eastAsiaTheme="minorHAnsi"/>
          <w:color w:val="2D2728"/>
          <w:lang w:eastAsia="en-US"/>
        </w:rPr>
        <w:t>DPMR</w:t>
      </w:r>
      <w:r w:rsidRPr="008C100C">
        <w:rPr>
          <w:rFonts w:eastAsiaTheme="minorHAnsi"/>
          <w:color w:val="454142"/>
          <w:lang w:eastAsia="en-US"/>
        </w:rPr>
        <w:t xml:space="preserve">) </w:t>
      </w:r>
    </w:p>
    <w:p w:rsidR="003C48B9" w:rsidRPr="008C100C" w:rsidRDefault="003C48B9" w:rsidP="008C100C">
      <w:pPr>
        <w:autoSpaceDE w:val="0"/>
        <w:autoSpaceDN w:val="0"/>
        <w:adjustRightInd w:val="0"/>
        <w:jc w:val="both"/>
        <w:rPr>
          <w:rFonts w:eastAsiaTheme="minorHAnsi"/>
          <w:color w:val="2D2728"/>
          <w:lang w:eastAsia="en-US"/>
        </w:rPr>
      </w:pPr>
      <w:r w:rsidRPr="008C100C">
        <w:rPr>
          <w:rFonts w:eastAsiaTheme="minorHAnsi"/>
          <w:color w:val="180F11"/>
          <w:lang w:eastAsia="en-US"/>
        </w:rPr>
        <w:t xml:space="preserve">- </w:t>
      </w:r>
      <w:r w:rsidRPr="008C100C">
        <w:rPr>
          <w:rFonts w:eastAsiaTheme="minorHAnsi"/>
          <w:color w:val="2D2728"/>
          <w:lang w:eastAsia="en-US"/>
        </w:rPr>
        <w:t>uvid u pov</w:t>
      </w:r>
      <w:r w:rsidRPr="008C100C">
        <w:rPr>
          <w:rFonts w:eastAsiaTheme="minorHAnsi"/>
          <w:color w:val="454142"/>
          <w:lang w:eastAsia="en-US"/>
        </w:rPr>
        <w:t>ezanos</w:t>
      </w:r>
      <w:r w:rsidRPr="008C100C">
        <w:rPr>
          <w:rFonts w:eastAsiaTheme="minorHAnsi"/>
          <w:color w:val="2D2728"/>
          <w:lang w:eastAsia="en-US"/>
        </w:rPr>
        <w:t>t</w:t>
      </w:r>
      <w:r w:rsidRPr="008C100C">
        <w:rPr>
          <w:rFonts w:eastAsiaTheme="minorHAnsi"/>
          <w:color w:val="C8C5C3"/>
          <w:lang w:eastAsia="en-US"/>
        </w:rPr>
        <w:t xml:space="preserve"> </w:t>
      </w:r>
      <w:r w:rsidRPr="008C100C">
        <w:rPr>
          <w:rFonts w:eastAsiaTheme="minorHAnsi"/>
          <w:color w:val="2D2728"/>
          <w:lang w:eastAsia="en-US"/>
        </w:rPr>
        <w:t>ra</w:t>
      </w:r>
      <w:r w:rsidRPr="008C100C">
        <w:rPr>
          <w:rFonts w:eastAsiaTheme="minorHAnsi"/>
          <w:color w:val="454142"/>
          <w:lang w:eastAsia="en-US"/>
        </w:rPr>
        <w:t>z</w:t>
      </w:r>
      <w:r w:rsidRPr="008C100C">
        <w:rPr>
          <w:rFonts w:eastAsiaTheme="minorHAnsi"/>
          <w:color w:val="2D2728"/>
          <w:lang w:eastAsia="en-US"/>
        </w:rPr>
        <w:t>in</w:t>
      </w:r>
      <w:r w:rsidRPr="008C100C">
        <w:rPr>
          <w:rFonts w:eastAsiaTheme="minorHAnsi"/>
          <w:color w:val="454142"/>
          <w:lang w:eastAsia="en-US"/>
        </w:rPr>
        <w:t>e o</w:t>
      </w:r>
      <w:r w:rsidRPr="008C100C">
        <w:rPr>
          <w:rFonts w:eastAsiaTheme="minorHAnsi"/>
          <w:color w:val="2D2728"/>
          <w:lang w:eastAsia="en-US"/>
        </w:rPr>
        <w:t>tporno</w:t>
      </w:r>
      <w:r w:rsidRPr="008C100C">
        <w:rPr>
          <w:rFonts w:eastAsiaTheme="minorHAnsi"/>
          <w:color w:val="454142"/>
          <w:lang w:eastAsia="en-US"/>
        </w:rPr>
        <w:t>s</w:t>
      </w:r>
      <w:r w:rsidRPr="008C100C">
        <w:rPr>
          <w:rFonts w:eastAsiaTheme="minorHAnsi"/>
          <w:color w:val="2D2728"/>
          <w:lang w:eastAsia="en-US"/>
        </w:rPr>
        <w:t>ti bakt</w:t>
      </w:r>
      <w:r w:rsidRPr="008C100C">
        <w:rPr>
          <w:rFonts w:eastAsiaTheme="minorHAnsi"/>
          <w:color w:val="454142"/>
          <w:lang w:eastAsia="en-US"/>
        </w:rPr>
        <w:t>e</w:t>
      </w:r>
      <w:r w:rsidRPr="008C100C">
        <w:rPr>
          <w:rFonts w:eastAsiaTheme="minorHAnsi"/>
          <w:color w:val="2D2728"/>
          <w:lang w:eastAsia="en-US"/>
        </w:rPr>
        <w:t>ri</w:t>
      </w:r>
      <w:r w:rsidRPr="008C100C">
        <w:rPr>
          <w:rFonts w:eastAsiaTheme="minorHAnsi"/>
          <w:color w:val="454142"/>
          <w:lang w:eastAsia="en-US"/>
        </w:rPr>
        <w:t>j</w:t>
      </w:r>
      <w:r w:rsidRPr="008C100C">
        <w:rPr>
          <w:rFonts w:eastAsiaTheme="minorHAnsi"/>
          <w:color w:val="2D2728"/>
          <w:lang w:eastAsia="en-US"/>
        </w:rPr>
        <w:t>a na antibiotik</w:t>
      </w:r>
      <w:r w:rsidRPr="008C100C">
        <w:rPr>
          <w:rFonts w:eastAsiaTheme="minorHAnsi"/>
          <w:color w:val="454142"/>
          <w:lang w:eastAsia="en-US"/>
        </w:rPr>
        <w:t xml:space="preserve">e i </w:t>
      </w:r>
      <w:r w:rsidRPr="008C100C">
        <w:rPr>
          <w:rFonts w:eastAsiaTheme="minorHAnsi"/>
          <w:color w:val="2D2728"/>
          <w:lang w:eastAsia="en-US"/>
        </w:rPr>
        <w:t>p</w:t>
      </w:r>
      <w:r w:rsidRPr="008C100C">
        <w:rPr>
          <w:rFonts w:eastAsiaTheme="minorHAnsi"/>
          <w:color w:val="454142"/>
          <w:lang w:eastAsia="en-US"/>
        </w:rPr>
        <w:t>o</w:t>
      </w:r>
      <w:r w:rsidRPr="008C100C">
        <w:rPr>
          <w:rFonts w:eastAsiaTheme="minorHAnsi"/>
          <w:color w:val="2D2728"/>
          <w:lang w:eastAsia="en-US"/>
        </w:rPr>
        <w:t>trošnj</w:t>
      </w:r>
      <w:r w:rsidRPr="008C100C">
        <w:rPr>
          <w:rFonts w:eastAsiaTheme="minorHAnsi"/>
          <w:color w:val="454142"/>
          <w:lang w:eastAsia="en-US"/>
        </w:rPr>
        <w:t xml:space="preserve">e </w:t>
      </w:r>
      <w:r w:rsidRPr="008C100C">
        <w:rPr>
          <w:rFonts w:eastAsiaTheme="minorHAnsi"/>
          <w:color w:val="2D2728"/>
          <w:lang w:eastAsia="en-US"/>
        </w:rPr>
        <w:t>antimikr</w:t>
      </w:r>
      <w:r w:rsidRPr="008C100C">
        <w:rPr>
          <w:rFonts w:eastAsiaTheme="minorHAnsi"/>
          <w:color w:val="454142"/>
          <w:lang w:eastAsia="en-US"/>
        </w:rPr>
        <w:t>o</w:t>
      </w:r>
      <w:r w:rsidRPr="008C100C">
        <w:rPr>
          <w:rFonts w:eastAsiaTheme="minorHAnsi"/>
          <w:color w:val="2D2728"/>
          <w:lang w:eastAsia="en-US"/>
        </w:rPr>
        <w:t>bnih</w:t>
      </w:r>
    </w:p>
    <w:p w:rsidR="003C48B9" w:rsidRPr="008C100C" w:rsidRDefault="003C48B9" w:rsidP="008C100C">
      <w:pPr>
        <w:autoSpaceDE w:val="0"/>
        <w:autoSpaceDN w:val="0"/>
        <w:adjustRightInd w:val="0"/>
        <w:jc w:val="both"/>
        <w:rPr>
          <w:rFonts w:eastAsiaTheme="minorHAnsi"/>
          <w:color w:val="454142"/>
          <w:lang w:eastAsia="en-US"/>
        </w:rPr>
      </w:pPr>
      <w:r w:rsidRPr="008C100C">
        <w:rPr>
          <w:rFonts w:eastAsiaTheme="minorHAnsi"/>
          <w:color w:val="454142"/>
          <w:lang w:eastAsia="en-US"/>
        </w:rPr>
        <w:t>v</w:t>
      </w:r>
      <w:r w:rsidRPr="008C100C">
        <w:rPr>
          <w:rFonts w:eastAsiaTheme="minorHAnsi"/>
          <w:color w:val="2D2728"/>
          <w:lang w:eastAsia="en-US"/>
        </w:rPr>
        <w:t>et</w:t>
      </w:r>
      <w:r w:rsidRPr="008C100C">
        <w:rPr>
          <w:rFonts w:eastAsiaTheme="minorHAnsi"/>
          <w:color w:val="454142"/>
          <w:lang w:eastAsia="en-US"/>
        </w:rPr>
        <w:t>e</w:t>
      </w:r>
      <w:r w:rsidRPr="008C100C">
        <w:rPr>
          <w:rFonts w:eastAsiaTheme="minorHAnsi"/>
          <w:color w:val="2D2728"/>
          <w:lang w:eastAsia="en-US"/>
        </w:rPr>
        <w:t>rin</w:t>
      </w:r>
      <w:r w:rsidRPr="008C100C">
        <w:rPr>
          <w:rFonts w:eastAsiaTheme="minorHAnsi"/>
          <w:color w:val="454142"/>
          <w:lang w:eastAsia="en-US"/>
        </w:rPr>
        <w:t xml:space="preserve">arsko </w:t>
      </w:r>
      <w:r w:rsidRPr="008C100C">
        <w:rPr>
          <w:rFonts w:eastAsiaTheme="minorHAnsi"/>
          <w:color w:val="2D2728"/>
          <w:lang w:eastAsia="en-US"/>
        </w:rPr>
        <w:t>m</w:t>
      </w:r>
      <w:r w:rsidRPr="008C100C">
        <w:rPr>
          <w:rFonts w:eastAsiaTheme="minorHAnsi"/>
          <w:color w:val="454142"/>
          <w:lang w:eastAsia="en-US"/>
        </w:rPr>
        <w:t>e</w:t>
      </w:r>
      <w:r w:rsidRPr="008C100C">
        <w:rPr>
          <w:rFonts w:eastAsiaTheme="minorHAnsi"/>
          <w:color w:val="2D2728"/>
          <w:lang w:eastAsia="en-US"/>
        </w:rPr>
        <w:t>dicin</w:t>
      </w:r>
      <w:r w:rsidRPr="008C100C">
        <w:rPr>
          <w:rFonts w:eastAsiaTheme="minorHAnsi"/>
          <w:color w:val="454142"/>
          <w:lang w:eastAsia="en-US"/>
        </w:rPr>
        <w:t>ski</w:t>
      </w:r>
      <w:r w:rsidRPr="008C100C">
        <w:rPr>
          <w:rFonts w:eastAsiaTheme="minorHAnsi"/>
          <w:color w:val="2D2728"/>
          <w:lang w:eastAsia="en-US"/>
        </w:rPr>
        <w:t>h p</w:t>
      </w:r>
      <w:r w:rsidRPr="008C100C">
        <w:rPr>
          <w:rFonts w:eastAsiaTheme="minorHAnsi"/>
          <w:color w:val="454142"/>
          <w:lang w:eastAsia="en-US"/>
        </w:rPr>
        <w:t>ro</w:t>
      </w:r>
      <w:r w:rsidRPr="008C100C">
        <w:rPr>
          <w:rFonts w:eastAsiaTheme="minorHAnsi"/>
          <w:color w:val="2D2728"/>
          <w:lang w:eastAsia="en-US"/>
        </w:rPr>
        <w:t>i</w:t>
      </w:r>
      <w:r w:rsidRPr="008C100C">
        <w:rPr>
          <w:rFonts w:eastAsiaTheme="minorHAnsi"/>
          <w:color w:val="454142"/>
          <w:lang w:eastAsia="en-US"/>
        </w:rPr>
        <w:t>zvo</w:t>
      </w:r>
      <w:r w:rsidRPr="008C100C">
        <w:rPr>
          <w:rFonts w:eastAsiaTheme="minorHAnsi"/>
          <w:color w:val="2D2728"/>
          <w:lang w:eastAsia="en-US"/>
        </w:rPr>
        <w:t>d</w:t>
      </w:r>
      <w:r w:rsidRPr="008C100C">
        <w:rPr>
          <w:rFonts w:eastAsiaTheme="minorHAnsi"/>
          <w:color w:val="454142"/>
          <w:lang w:eastAsia="en-US"/>
        </w:rPr>
        <w:t>a</w:t>
      </w:r>
    </w:p>
    <w:p w:rsidR="003C48B9" w:rsidRPr="008C100C" w:rsidRDefault="003C48B9" w:rsidP="008C100C">
      <w:pPr>
        <w:autoSpaceDE w:val="0"/>
        <w:autoSpaceDN w:val="0"/>
        <w:adjustRightInd w:val="0"/>
        <w:jc w:val="both"/>
        <w:rPr>
          <w:rFonts w:eastAsiaTheme="minorHAnsi"/>
          <w:color w:val="454142"/>
          <w:lang w:eastAsia="en-US"/>
        </w:rPr>
      </w:pPr>
      <w:r w:rsidRPr="008C100C">
        <w:rPr>
          <w:rFonts w:eastAsiaTheme="minorHAnsi"/>
          <w:color w:val="2D2728"/>
          <w:lang w:eastAsia="en-US"/>
        </w:rPr>
        <w:t>- r</w:t>
      </w:r>
      <w:r w:rsidRPr="008C100C">
        <w:rPr>
          <w:rFonts w:eastAsiaTheme="minorHAnsi"/>
          <w:color w:val="454142"/>
          <w:lang w:eastAsia="en-US"/>
        </w:rPr>
        <w:t>az</w:t>
      </w:r>
      <w:r w:rsidRPr="008C100C">
        <w:rPr>
          <w:rFonts w:eastAsiaTheme="minorHAnsi"/>
          <w:color w:val="2D2728"/>
          <w:lang w:eastAsia="en-US"/>
        </w:rPr>
        <w:t>mj</w:t>
      </w:r>
      <w:r w:rsidRPr="008C100C">
        <w:rPr>
          <w:rFonts w:eastAsiaTheme="minorHAnsi"/>
          <w:color w:val="454142"/>
          <w:lang w:eastAsia="en-US"/>
        </w:rPr>
        <w:t>e</w:t>
      </w:r>
      <w:r w:rsidRPr="008C100C">
        <w:rPr>
          <w:rFonts w:eastAsiaTheme="minorHAnsi"/>
          <w:color w:val="2D2728"/>
          <w:lang w:eastAsia="en-US"/>
        </w:rPr>
        <w:t>nu p</w:t>
      </w:r>
      <w:r w:rsidRPr="008C100C">
        <w:rPr>
          <w:rFonts w:eastAsiaTheme="minorHAnsi"/>
          <w:color w:val="454142"/>
          <w:lang w:eastAsia="en-US"/>
        </w:rPr>
        <w:t>o</w:t>
      </w:r>
      <w:r w:rsidRPr="008C100C">
        <w:rPr>
          <w:rFonts w:eastAsiaTheme="minorHAnsi"/>
          <w:color w:val="2D2728"/>
          <w:lang w:eastAsia="en-US"/>
        </w:rPr>
        <w:t>d</w:t>
      </w:r>
      <w:r w:rsidRPr="008C100C">
        <w:rPr>
          <w:rFonts w:eastAsiaTheme="minorHAnsi"/>
          <w:color w:val="454142"/>
          <w:lang w:eastAsia="en-US"/>
        </w:rPr>
        <w:t>a</w:t>
      </w:r>
      <w:r w:rsidRPr="008C100C">
        <w:rPr>
          <w:rFonts w:eastAsiaTheme="minorHAnsi"/>
          <w:color w:val="2D2728"/>
          <w:lang w:eastAsia="en-US"/>
        </w:rPr>
        <w:t>t</w:t>
      </w:r>
      <w:r w:rsidRPr="008C100C">
        <w:rPr>
          <w:rFonts w:eastAsiaTheme="minorHAnsi"/>
          <w:color w:val="454142"/>
          <w:lang w:eastAsia="en-US"/>
        </w:rPr>
        <w:t>ak</w:t>
      </w:r>
      <w:r w:rsidRPr="008C100C">
        <w:rPr>
          <w:rFonts w:eastAsiaTheme="minorHAnsi"/>
          <w:color w:val="736E6F"/>
          <w:lang w:eastAsia="en-US"/>
        </w:rPr>
        <w:t xml:space="preserve">a o </w:t>
      </w:r>
      <w:r w:rsidRPr="008C100C">
        <w:rPr>
          <w:rFonts w:eastAsiaTheme="minorHAnsi"/>
          <w:color w:val="2D2728"/>
          <w:lang w:eastAsia="en-US"/>
        </w:rPr>
        <w:t>p</w:t>
      </w:r>
      <w:r w:rsidRPr="008C100C">
        <w:rPr>
          <w:rFonts w:eastAsiaTheme="minorHAnsi"/>
          <w:color w:val="454142"/>
          <w:lang w:eastAsia="en-US"/>
        </w:rPr>
        <w:t>ot</w:t>
      </w:r>
      <w:r w:rsidRPr="008C100C">
        <w:rPr>
          <w:rFonts w:eastAsiaTheme="minorHAnsi"/>
          <w:color w:val="2D2728"/>
          <w:lang w:eastAsia="en-US"/>
        </w:rPr>
        <w:t>r</w:t>
      </w:r>
      <w:r w:rsidRPr="008C100C">
        <w:rPr>
          <w:rFonts w:eastAsiaTheme="minorHAnsi"/>
          <w:color w:val="454142"/>
          <w:lang w:eastAsia="en-US"/>
        </w:rPr>
        <w:t>oš</w:t>
      </w:r>
      <w:r w:rsidRPr="008C100C">
        <w:rPr>
          <w:rFonts w:eastAsiaTheme="minorHAnsi"/>
          <w:color w:val="2D2728"/>
          <w:lang w:eastAsia="en-US"/>
        </w:rPr>
        <w:t>nji antimi</w:t>
      </w:r>
      <w:r w:rsidRPr="008C100C">
        <w:rPr>
          <w:rFonts w:eastAsiaTheme="minorHAnsi"/>
          <w:color w:val="454142"/>
          <w:lang w:eastAsia="en-US"/>
        </w:rPr>
        <w:t>kro</w:t>
      </w:r>
      <w:r w:rsidRPr="008C100C">
        <w:rPr>
          <w:rFonts w:eastAsiaTheme="minorHAnsi"/>
          <w:color w:val="2D2728"/>
          <w:lang w:eastAsia="en-US"/>
        </w:rPr>
        <w:t xml:space="preserve">bnih </w:t>
      </w:r>
      <w:r w:rsidRPr="008C100C">
        <w:rPr>
          <w:rFonts w:eastAsiaTheme="minorHAnsi"/>
          <w:color w:val="454142"/>
          <w:lang w:eastAsia="en-US"/>
        </w:rPr>
        <w:t>ve</w:t>
      </w:r>
      <w:r w:rsidRPr="008C100C">
        <w:rPr>
          <w:rFonts w:eastAsiaTheme="minorHAnsi"/>
          <w:color w:val="2D2728"/>
          <w:lang w:eastAsia="en-US"/>
        </w:rPr>
        <w:t>t</w:t>
      </w:r>
      <w:r w:rsidRPr="008C100C">
        <w:rPr>
          <w:rFonts w:eastAsiaTheme="minorHAnsi"/>
          <w:color w:val="454142"/>
          <w:lang w:eastAsia="en-US"/>
        </w:rPr>
        <w:t>e</w:t>
      </w:r>
      <w:r w:rsidRPr="008C100C">
        <w:rPr>
          <w:rFonts w:eastAsiaTheme="minorHAnsi"/>
          <w:color w:val="2D2728"/>
          <w:lang w:eastAsia="en-US"/>
        </w:rPr>
        <w:t>rinar</w:t>
      </w:r>
      <w:r w:rsidRPr="008C100C">
        <w:rPr>
          <w:rFonts w:eastAsiaTheme="minorHAnsi"/>
          <w:color w:val="454142"/>
          <w:lang w:eastAsia="en-US"/>
        </w:rPr>
        <w:t xml:space="preserve">sko </w:t>
      </w:r>
      <w:r w:rsidRPr="008C100C">
        <w:rPr>
          <w:rFonts w:eastAsiaTheme="minorHAnsi"/>
          <w:color w:val="2D2728"/>
          <w:lang w:eastAsia="en-US"/>
        </w:rPr>
        <w:t>m</w:t>
      </w:r>
      <w:r w:rsidRPr="008C100C">
        <w:rPr>
          <w:rFonts w:eastAsiaTheme="minorHAnsi"/>
          <w:color w:val="454142"/>
          <w:lang w:eastAsia="en-US"/>
        </w:rPr>
        <w:t>ed</w:t>
      </w:r>
      <w:r w:rsidRPr="008C100C">
        <w:rPr>
          <w:rFonts w:eastAsiaTheme="minorHAnsi"/>
          <w:color w:val="2D2728"/>
          <w:lang w:eastAsia="en-US"/>
        </w:rPr>
        <w:t>icin</w:t>
      </w:r>
      <w:r w:rsidRPr="008C100C">
        <w:rPr>
          <w:rFonts w:eastAsiaTheme="minorHAnsi"/>
          <w:color w:val="454142"/>
          <w:lang w:eastAsia="en-US"/>
        </w:rPr>
        <w:t>s</w:t>
      </w:r>
      <w:r w:rsidRPr="008C100C">
        <w:rPr>
          <w:rFonts w:eastAsiaTheme="minorHAnsi"/>
          <w:color w:val="2D2728"/>
          <w:lang w:eastAsia="en-US"/>
        </w:rPr>
        <w:t>kih pr</w:t>
      </w:r>
      <w:r w:rsidRPr="008C100C">
        <w:rPr>
          <w:rFonts w:eastAsiaTheme="minorHAnsi"/>
          <w:color w:val="454142"/>
          <w:lang w:eastAsia="en-US"/>
        </w:rPr>
        <w:t>o</w:t>
      </w:r>
      <w:r w:rsidRPr="008C100C">
        <w:rPr>
          <w:rFonts w:eastAsiaTheme="minorHAnsi"/>
          <w:color w:val="2D2728"/>
          <w:lang w:eastAsia="en-US"/>
        </w:rPr>
        <w:t>i</w:t>
      </w:r>
      <w:r w:rsidRPr="008C100C">
        <w:rPr>
          <w:rFonts w:eastAsiaTheme="minorHAnsi"/>
          <w:color w:val="454142"/>
          <w:lang w:eastAsia="en-US"/>
        </w:rPr>
        <w:t>zvo</w:t>
      </w:r>
      <w:r w:rsidRPr="008C100C">
        <w:rPr>
          <w:rFonts w:eastAsiaTheme="minorHAnsi"/>
          <w:color w:val="2D2728"/>
          <w:lang w:eastAsia="en-US"/>
        </w:rPr>
        <w:t>d</w:t>
      </w:r>
      <w:r w:rsidRPr="008C100C">
        <w:rPr>
          <w:rFonts w:eastAsiaTheme="minorHAnsi"/>
          <w:color w:val="454142"/>
          <w:lang w:eastAsia="en-US"/>
        </w:rPr>
        <w:t>a s</w:t>
      </w:r>
    </w:p>
    <w:p w:rsidR="003C48B9" w:rsidRPr="008C100C" w:rsidRDefault="003C48B9" w:rsidP="008C100C">
      <w:pPr>
        <w:autoSpaceDE w:val="0"/>
        <w:autoSpaceDN w:val="0"/>
        <w:adjustRightInd w:val="0"/>
        <w:jc w:val="both"/>
        <w:rPr>
          <w:rFonts w:eastAsiaTheme="minorHAnsi"/>
          <w:color w:val="454142"/>
          <w:lang w:eastAsia="en-US"/>
        </w:rPr>
      </w:pPr>
      <w:r w:rsidRPr="008C100C">
        <w:rPr>
          <w:rFonts w:eastAsiaTheme="minorHAnsi"/>
          <w:color w:val="454142"/>
          <w:lang w:eastAsia="en-US"/>
        </w:rPr>
        <w:t>ze</w:t>
      </w:r>
      <w:r w:rsidRPr="008C100C">
        <w:rPr>
          <w:rFonts w:eastAsiaTheme="minorHAnsi"/>
          <w:color w:val="2D2728"/>
          <w:lang w:eastAsia="en-US"/>
        </w:rPr>
        <w:t>ml</w:t>
      </w:r>
      <w:r w:rsidRPr="008C100C">
        <w:rPr>
          <w:rFonts w:eastAsiaTheme="minorHAnsi"/>
          <w:color w:val="454142"/>
          <w:lang w:eastAsia="en-US"/>
        </w:rPr>
        <w:t>j</w:t>
      </w:r>
      <w:r w:rsidRPr="008C100C">
        <w:rPr>
          <w:rFonts w:eastAsiaTheme="minorHAnsi"/>
          <w:color w:val="2D2728"/>
          <w:lang w:eastAsia="en-US"/>
        </w:rPr>
        <w:t>am</w:t>
      </w:r>
      <w:r w:rsidRPr="008C100C">
        <w:rPr>
          <w:rFonts w:eastAsiaTheme="minorHAnsi"/>
          <w:color w:val="454142"/>
          <w:lang w:eastAsia="en-US"/>
        </w:rPr>
        <w:t>a č</w:t>
      </w:r>
      <w:r w:rsidRPr="008C100C">
        <w:rPr>
          <w:rFonts w:eastAsiaTheme="minorHAnsi"/>
          <w:color w:val="2D2728"/>
          <w:lang w:eastAsia="en-US"/>
        </w:rPr>
        <w:t>l</w:t>
      </w:r>
      <w:r w:rsidRPr="008C100C">
        <w:rPr>
          <w:rFonts w:eastAsiaTheme="minorHAnsi"/>
          <w:color w:val="454142"/>
          <w:lang w:eastAsia="en-US"/>
        </w:rPr>
        <w:t>an</w:t>
      </w:r>
      <w:r w:rsidRPr="008C100C">
        <w:rPr>
          <w:rFonts w:eastAsiaTheme="minorHAnsi"/>
          <w:color w:val="2D2728"/>
          <w:lang w:eastAsia="en-US"/>
        </w:rPr>
        <w:t>i</w:t>
      </w:r>
      <w:r w:rsidRPr="008C100C">
        <w:rPr>
          <w:rFonts w:eastAsiaTheme="minorHAnsi"/>
          <w:color w:val="454142"/>
          <w:lang w:eastAsia="en-US"/>
        </w:rPr>
        <w:t>c</w:t>
      </w:r>
      <w:r w:rsidRPr="008C100C">
        <w:rPr>
          <w:rFonts w:eastAsiaTheme="minorHAnsi"/>
          <w:color w:val="2D2728"/>
          <w:lang w:eastAsia="en-US"/>
        </w:rPr>
        <w:t>am</w:t>
      </w:r>
      <w:r w:rsidRPr="008C100C">
        <w:rPr>
          <w:rFonts w:eastAsiaTheme="minorHAnsi"/>
          <w:color w:val="454142"/>
          <w:lang w:eastAsia="en-US"/>
        </w:rPr>
        <w:t>a Europske unije zem</w:t>
      </w:r>
      <w:r w:rsidRPr="008C100C">
        <w:rPr>
          <w:rFonts w:eastAsiaTheme="minorHAnsi"/>
          <w:color w:val="2D2728"/>
          <w:lang w:eastAsia="en-US"/>
        </w:rPr>
        <w:t>l</w:t>
      </w:r>
      <w:r w:rsidRPr="008C100C">
        <w:rPr>
          <w:rFonts w:eastAsiaTheme="minorHAnsi"/>
          <w:color w:val="454142"/>
          <w:lang w:eastAsia="en-US"/>
        </w:rPr>
        <w:t>jama</w:t>
      </w:r>
    </w:p>
    <w:p w:rsidR="003C48B9" w:rsidRPr="008C100C" w:rsidRDefault="003C48B9" w:rsidP="008C100C">
      <w:pPr>
        <w:autoSpaceDE w:val="0"/>
        <w:autoSpaceDN w:val="0"/>
        <w:adjustRightInd w:val="0"/>
        <w:jc w:val="both"/>
        <w:rPr>
          <w:rFonts w:eastAsiaTheme="minorHAnsi"/>
          <w:color w:val="2D2728"/>
          <w:lang w:eastAsia="en-US"/>
        </w:rPr>
      </w:pPr>
      <w:r w:rsidRPr="008C100C">
        <w:rPr>
          <w:rFonts w:eastAsiaTheme="minorHAnsi"/>
          <w:color w:val="2D2728"/>
          <w:lang w:eastAsia="en-US"/>
        </w:rPr>
        <w:t>- p</w:t>
      </w:r>
      <w:r w:rsidRPr="008C100C">
        <w:rPr>
          <w:rFonts w:eastAsiaTheme="minorHAnsi"/>
          <w:color w:val="454142"/>
          <w:lang w:eastAsia="en-US"/>
        </w:rPr>
        <w:t>roc</w:t>
      </w:r>
      <w:r w:rsidRPr="008C100C">
        <w:rPr>
          <w:rFonts w:eastAsiaTheme="minorHAnsi"/>
          <w:color w:val="2D2728"/>
          <w:lang w:eastAsia="en-US"/>
        </w:rPr>
        <w:t>j</w:t>
      </w:r>
      <w:r w:rsidRPr="008C100C">
        <w:rPr>
          <w:rFonts w:eastAsiaTheme="minorHAnsi"/>
          <w:color w:val="454142"/>
          <w:lang w:eastAsia="en-US"/>
        </w:rPr>
        <w:t>e</w:t>
      </w:r>
      <w:r w:rsidRPr="008C100C">
        <w:rPr>
          <w:rFonts w:eastAsiaTheme="minorHAnsi"/>
          <w:color w:val="2D2728"/>
          <w:lang w:eastAsia="en-US"/>
        </w:rPr>
        <w:t>nu uč</w:t>
      </w:r>
      <w:r w:rsidRPr="008C100C">
        <w:rPr>
          <w:rFonts w:eastAsiaTheme="minorHAnsi"/>
          <w:color w:val="454142"/>
          <w:lang w:eastAsia="en-US"/>
        </w:rPr>
        <w:t>i</w:t>
      </w:r>
      <w:r w:rsidRPr="008C100C">
        <w:rPr>
          <w:rFonts w:eastAsiaTheme="minorHAnsi"/>
          <w:color w:val="2D2728"/>
          <w:lang w:eastAsia="en-US"/>
        </w:rPr>
        <w:t>nk</w:t>
      </w:r>
      <w:r w:rsidRPr="008C100C">
        <w:rPr>
          <w:rFonts w:eastAsiaTheme="minorHAnsi"/>
          <w:color w:val="454142"/>
          <w:lang w:eastAsia="en-US"/>
        </w:rPr>
        <w:t>a pojedinih</w:t>
      </w:r>
      <w:r w:rsidRPr="008C100C">
        <w:rPr>
          <w:rFonts w:eastAsia="HiddenHorzOCR"/>
          <w:color w:val="2D2728"/>
          <w:lang w:eastAsia="en-US"/>
        </w:rPr>
        <w:t xml:space="preserve"> </w:t>
      </w:r>
      <w:r w:rsidRPr="008C100C">
        <w:rPr>
          <w:rFonts w:eastAsiaTheme="minorHAnsi"/>
          <w:color w:val="454142"/>
          <w:lang w:eastAsia="en-US"/>
        </w:rPr>
        <w:t>i</w:t>
      </w:r>
      <w:r w:rsidRPr="008C100C">
        <w:rPr>
          <w:rFonts w:eastAsiaTheme="minorHAnsi"/>
          <w:color w:val="2D2728"/>
          <w:lang w:eastAsia="en-US"/>
        </w:rPr>
        <w:t>nt</w:t>
      </w:r>
      <w:r w:rsidRPr="008C100C">
        <w:rPr>
          <w:rFonts w:eastAsiaTheme="minorHAnsi"/>
          <w:color w:val="454142"/>
          <w:lang w:eastAsia="en-US"/>
        </w:rPr>
        <w:t>e</w:t>
      </w:r>
      <w:r w:rsidRPr="008C100C">
        <w:rPr>
          <w:rFonts w:eastAsiaTheme="minorHAnsi"/>
          <w:color w:val="2D2728"/>
          <w:lang w:eastAsia="en-US"/>
        </w:rPr>
        <w:t>r</w:t>
      </w:r>
      <w:r w:rsidRPr="008C100C">
        <w:rPr>
          <w:rFonts w:eastAsiaTheme="minorHAnsi"/>
          <w:color w:val="454142"/>
          <w:lang w:eastAsia="en-US"/>
        </w:rPr>
        <w:t>ve</w:t>
      </w:r>
      <w:r w:rsidRPr="008C100C">
        <w:rPr>
          <w:rFonts w:eastAsiaTheme="minorHAnsi"/>
          <w:color w:val="2D2728"/>
          <w:lang w:eastAsia="en-US"/>
        </w:rPr>
        <w:t>n</w:t>
      </w:r>
      <w:r w:rsidRPr="008C100C">
        <w:rPr>
          <w:rFonts w:eastAsiaTheme="minorHAnsi"/>
          <w:color w:val="454142"/>
          <w:lang w:eastAsia="en-US"/>
        </w:rPr>
        <w:t>c</w:t>
      </w:r>
      <w:r w:rsidRPr="008C100C">
        <w:rPr>
          <w:rFonts w:eastAsiaTheme="minorHAnsi"/>
          <w:color w:val="2D2728"/>
          <w:lang w:eastAsia="en-US"/>
        </w:rPr>
        <w:t>i</w:t>
      </w:r>
      <w:r w:rsidRPr="008C100C">
        <w:rPr>
          <w:rFonts w:eastAsiaTheme="minorHAnsi"/>
          <w:color w:val="454142"/>
          <w:lang w:eastAsia="en-US"/>
        </w:rPr>
        <w:t xml:space="preserve">ja </w:t>
      </w:r>
      <w:r w:rsidRPr="008C100C">
        <w:rPr>
          <w:rFonts w:eastAsiaTheme="minorHAnsi"/>
          <w:color w:val="2D2728"/>
          <w:lang w:eastAsia="en-US"/>
        </w:rPr>
        <w:t>u r</w:t>
      </w:r>
      <w:r w:rsidRPr="008C100C">
        <w:rPr>
          <w:rFonts w:eastAsiaTheme="minorHAnsi"/>
          <w:color w:val="454142"/>
          <w:lang w:eastAsia="en-US"/>
        </w:rPr>
        <w:t>aciona</w:t>
      </w:r>
      <w:r w:rsidRPr="008C100C">
        <w:rPr>
          <w:rFonts w:eastAsiaTheme="minorHAnsi"/>
          <w:color w:val="2D2728"/>
          <w:lang w:eastAsia="en-US"/>
        </w:rPr>
        <w:t>li</w:t>
      </w:r>
      <w:r w:rsidRPr="008C100C">
        <w:rPr>
          <w:rFonts w:eastAsiaTheme="minorHAnsi"/>
          <w:color w:val="454142"/>
          <w:lang w:eastAsia="en-US"/>
        </w:rPr>
        <w:t>zac</w:t>
      </w:r>
      <w:r w:rsidRPr="008C100C">
        <w:rPr>
          <w:rFonts w:eastAsiaTheme="minorHAnsi"/>
          <w:color w:val="2D2728"/>
          <w:lang w:eastAsia="en-US"/>
        </w:rPr>
        <w:t>i</w:t>
      </w:r>
      <w:r w:rsidRPr="008C100C">
        <w:rPr>
          <w:rFonts w:eastAsiaTheme="minorHAnsi"/>
          <w:color w:val="454142"/>
          <w:lang w:eastAsia="en-US"/>
        </w:rPr>
        <w:t>ji p</w:t>
      </w:r>
      <w:r w:rsidRPr="008C100C">
        <w:rPr>
          <w:rFonts w:eastAsiaTheme="minorHAnsi"/>
          <w:color w:val="2D2728"/>
          <w:lang w:eastAsia="en-US"/>
        </w:rPr>
        <w:t>r</w:t>
      </w:r>
      <w:r w:rsidRPr="008C100C">
        <w:rPr>
          <w:rFonts w:eastAsiaTheme="minorHAnsi"/>
          <w:color w:val="454142"/>
          <w:lang w:eastAsia="en-US"/>
        </w:rPr>
        <w:t>o</w:t>
      </w:r>
      <w:r w:rsidRPr="008C100C">
        <w:rPr>
          <w:rFonts w:eastAsiaTheme="minorHAnsi"/>
          <w:color w:val="2D2728"/>
          <w:lang w:eastAsia="en-US"/>
        </w:rPr>
        <w:t>pi</w:t>
      </w:r>
      <w:r w:rsidRPr="008C100C">
        <w:rPr>
          <w:rFonts w:eastAsiaTheme="minorHAnsi"/>
          <w:color w:val="625F5F"/>
          <w:lang w:eastAsia="en-US"/>
        </w:rPr>
        <w:t>s</w:t>
      </w:r>
      <w:r w:rsidRPr="008C100C">
        <w:rPr>
          <w:rFonts w:eastAsiaTheme="minorHAnsi"/>
          <w:color w:val="2D2728"/>
          <w:lang w:eastAsia="en-US"/>
        </w:rPr>
        <w:t>i</w:t>
      </w:r>
      <w:r w:rsidRPr="008C100C">
        <w:rPr>
          <w:rFonts w:eastAsiaTheme="minorHAnsi"/>
          <w:color w:val="454142"/>
          <w:lang w:eastAsia="en-US"/>
        </w:rPr>
        <w:t>v</w:t>
      </w:r>
      <w:r w:rsidRPr="008C100C">
        <w:rPr>
          <w:rFonts w:eastAsiaTheme="minorHAnsi"/>
          <w:color w:val="2D2728"/>
          <w:lang w:eastAsia="en-US"/>
        </w:rPr>
        <w:t>an</w:t>
      </w:r>
      <w:r w:rsidRPr="008C100C">
        <w:rPr>
          <w:rFonts w:eastAsiaTheme="minorHAnsi"/>
          <w:color w:val="454142"/>
          <w:lang w:eastAsia="en-US"/>
        </w:rPr>
        <w:t>ja a</w:t>
      </w:r>
      <w:r w:rsidRPr="008C100C">
        <w:rPr>
          <w:rFonts w:eastAsiaTheme="minorHAnsi"/>
          <w:color w:val="2D2728"/>
          <w:lang w:eastAsia="en-US"/>
        </w:rPr>
        <w:t>n</w:t>
      </w:r>
      <w:r w:rsidRPr="008C100C">
        <w:rPr>
          <w:rFonts w:eastAsiaTheme="minorHAnsi"/>
          <w:color w:val="454142"/>
          <w:lang w:eastAsia="en-US"/>
        </w:rPr>
        <w:t>ti</w:t>
      </w:r>
      <w:r w:rsidRPr="008C100C">
        <w:rPr>
          <w:rFonts w:eastAsiaTheme="minorHAnsi"/>
          <w:color w:val="2D2728"/>
          <w:lang w:eastAsia="en-US"/>
        </w:rPr>
        <w:t>m</w:t>
      </w:r>
      <w:r w:rsidRPr="008C100C">
        <w:rPr>
          <w:rFonts w:eastAsiaTheme="minorHAnsi"/>
          <w:color w:val="454142"/>
          <w:lang w:eastAsia="en-US"/>
        </w:rPr>
        <w:t>ikro</w:t>
      </w:r>
      <w:r w:rsidRPr="008C100C">
        <w:rPr>
          <w:rFonts w:eastAsiaTheme="minorHAnsi"/>
          <w:color w:val="2D2728"/>
          <w:lang w:eastAsia="en-US"/>
        </w:rPr>
        <w:t>b</w:t>
      </w:r>
      <w:r w:rsidRPr="008C100C">
        <w:rPr>
          <w:rFonts w:eastAsiaTheme="minorHAnsi"/>
          <w:color w:val="454142"/>
          <w:lang w:eastAsia="en-US"/>
        </w:rPr>
        <w:t>n</w:t>
      </w:r>
      <w:r w:rsidRPr="008C100C">
        <w:rPr>
          <w:rFonts w:eastAsiaTheme="minorHAnsi"/>
          <w:color w:val="2D2728"/>
          <w:lang w:eastAsia="en-US"/>
        </w:rPr>
        <w:t>ih</w:t>
      </w:r>
    </w:p>
    <w:p w:rsidR="003C48B9" w:rsidRPr="008C100C" w:rsidRDefault="003C48B9" w:rsidP="008C100C">
      <w:pPr>
        <w:autoSpaceDE w:val="0"/>
        <w:autoSpaceDN w:val="0"/>
        <w:adjustRightInd w:val="0"/>
        <w:jc w:val="both"/>
        <w:rPr>
          <w:rFonts w:eastAsiaTheme="minorHAnsi"/>
          <w:color w:val="C8C5C3"/>
          <w:lang w:eastAsia="en-US"/>
        </w:rPr>
      </w:pPr>
      <w:r w:rsidRPr="008C100C">
        <w:rPr>
          <w:rFonts w:eastAsiaTheme="minorHAnsi"/>
          <w:color w:val="454142"/>
          <w:lang w:eastAsia="en-US"/>
        </w:rPr>
        <w:t>ve</w:t>
      </w:r>
      <w:r w:rsidRPr="008C100C">
        <w:rPr>
          <w:rFonts w:eastAsiaTheme="minorHAnsi"/>
          <w:color w:val="2D2728"/>
          <w:lang w:eastAsia="en-US"/>
        </w:rPr>
        <w:t>t</w:t>
      </w:r>
      <w:r w:rsidRPr="008C100C">
        <w:rPr>
          <w:rFonts w:eastAsiaTheme="minorHAnsi"/>
          <w:color w:val="454142"/>
          <w:lang w:eastAsia="en-US"/>
        </w:rPr>
        <w:t>e</w:t>
      </w:r>
      <w:r w:rsidRPr="008C100C">
        <w:rPr>
          <w:rFonts w:eastAsiaTheme="minorHAnsi"/>
          <w:color w:val="2D2728"/>
          <w:lang w:eastAsia="en-US"/>
        </w:rPr>
        <w:t>rin</w:t>
      </w:r>
      <w:r w:rsidRPr="008C100C">
        <w:rPr>
          <w:rFonts w:eastAsiaTheme="minorHAnsi"/>
          <w:color w:val="454142"/>
          <w:lang w:eastAsia="en-US"/>
        </w:rPr>
        <w:t>a</w:t>
      </w:r>
      <w:r w:rsidRPr="008C100C">
        <w:rPr>
          <w:rFonts w:eastAsiaTheme="minorHAnsi"/>
          <w:color w:val="2D2728"/>
          <w:lang w:eastAsia="en-US"/>
        </w:rPr>
        <w:t>r</w:t>
      </w:r>
      <w:r w:rsidRPr="008C100C">
        <w:rPr>
          <w:rFonts w:eastAsiaTheme="minorHAnsi"/>
          <w:color w:val="454142"/>
          <w:lang w:eastAsia="en-US"/>
        </w:rPr>
        <w:t>s</w:t>
      </w:r>
      <w:r w:rsidRPr="008C100C">
        <w:rPr>
          <w:rFonts w:eastAsiaTheme="minorHAnsi"/>
          <w:color w:val="2D2728"/>
          <w:lang w:eastAsia="en-US"/>
        </w:rPr>
        <w:t>k</w:t>
      </w:r>
      <w:r w:rsidRPr="008C100C">
        <w:rPr>
          <w:rFonts w:eastAsiaTheme="minorHAnsi"/>
          <w:color w:val="454142"/>
          <w:lang w:eastAsia="en-US"/>
        </w:rPr>
        <w:t xml:space="preserve">o </w:t>
      </w:r>
      <w:r w:rsidRPr="008C100C">
        <w:rPr>
          <w:rFonts w:eastAsiaTheme="minorHAnsi"/>
          <w:color w:val="2D2728"/>
          <w:lang w:eastAsia="en-US"/>
        </w:rPr>
        <w:t>m</w:t>
      </w:r>
      <w:r w:rsidRPr="008C100C">
        <w:rPr>
          <w:rFonts w:eastAsiaTheme="minorHAnsi"/>
          <w:color w:val="454142"/>
          <w:lang w:eastAsia="en-US"/>
        </w:rPr>
        <w:t>e</w:t>
      </w:r>
      <w:r w:rsidRPr="008C100C">
        <w:rPr>
          <w:rFonts w:eastAsiaTheme="minorHAnsi"/>
          <w:color w:val="2D2728"/>
          <w:lang w:eastAsia="en-US"/>
        </w:rPr>
        <w:t>dicin</w:t>
      </w:r>
      <w:r w:rsidRPr="008C100C">
        <w:rPr>
          <w:rFonts w:eastAsiaTheme="minorHAnsi"/>
          <w:color w:val="454142"/>
          <w:lang w:eastAsia="en-US"/>
        </w:rPr>
        <w:t>s</w:t>
      </w:r>
      <w:r w:rsidRPr="008C100C">
        <w:rPr>
          <w:rFonts w:eastAsiaTheme="minorHAnsi"/>
          <w:color w:val="2D2728"/>
          <w:lang w:eastAsia="en-US"/>
        </w:rPr>
        <w:t>k</w:t>
      </w:r>
      <w:r w:rsidRPr="008C100C">
        <w:rPr>
          <w:rFonts w:eastAsiaTheme="minorHAnsi"/>
          <w:color w:val="454142"/>
          <w:lang w:eastAsia="en-US"/>
        </w:rPr>
        <w:t>i</w:t>
      </w:r>
      <w:r w:rsidRPr="008C100C">
        <w:rPr>
          <w:rFonts w:eastAsiaTheme="minorHAnsi"/>
          <w:color w:val="2D2728"/>
          <w:lang w:eastAsia="en-US"/>
        </w:rPr>
        <w:t>h p</w:t>
      </w:r>
      <w:r w:rsidRPr="008C100C">
        <w:rPr>
          <w:rFonts w:eastAsiaTheme="minorHAnsi"/>
          <w:color w:val="454142"/>
          <w:lang w:eastAsia="en-US"/>
        </w:rPr>
        <w:t>ro</w:t>
      </w:r>
      <w:r w:rsidRPr="008C100C">
        <w:rPr>
          <w:rFonts w:eastAsiaTheme="minorHAnsi"/>
          <w:color w:val="2D2728"/>
          <w:lang w:eastAsia="en-US"/>
        </w:rPr>
        <w:t>i</w:t>
      </w:r>
      <w:r w:rsidRPr="008C100C">
        <w:rPr>
          <w:rFonts w:eastAsiaTheme="minorHAnsi"/>
          <w:color w:val="454142"/>
          <w:lang w:eastAsia="en-US"/>
        </w:rPr>
        <w:t xml:space="preserve">zvoda </w:t>
      </w:r>
    </w:p>
    <w:p w:rsidR="003C48B9" w:rsidRPr="003C48B9" w:rsidRDefault="003C48B9" w:rsidP="003C48B9">
      <w:pPr>
        <w:jc w:val="both"/>
      </w:pPr>
      <w:r w:rsidRPr="008C100C">
        <w:rPr>
          <w:rFonts w:eastAsiaTheme="minorHAnsi"/>
          <w:color w:val="2D2728"/>
          <w:lang w:eastAsia="en-US"/>
        </w:rPr>
        <w:t>- prov</w:t>
      </w:r>
      <w:r w:rsidRPr="008C100C">
        <w:rPr>
          <w:rFonts w:eastAsiaTheme="minorHAnsi"/>
          <w:color w:val="454142"/>
          <w:lang w:eastAsia="en-US"/>
        </w:rPr>
        <w:t>e</w:t>
      </w:r>
      <w:r w:rsidRPr="008C100C">
        <w:rPr>
          <w:rFonts w:eastAsiaTheme="minorHAnsi"/>
          <w:color w:val="2D2728"/>
          <w:lang w:eastAsia="en-US"/>
        </w:rPr>
        <w:t>dbu d</w:t>
      </w:r>
      <w:r w:rsidRPr="008C100C">
        <w:rPr>
          <w:rFonts w:eastAsiaTheme="minorHAnsi"/>
          <w:color w:val="454142"/>
          <w:lang w:eastAsia="en-US"/>
        </w:rPr>
        <w:t>a</w:t>
      </w:r>
      <w:r w:rsidRPr="008C100C">
        <w:rPr>
          <w:rFonts w:eastAsiaTheme="minorHAnsi"/>
          <w:color w:val="2D2728"/>
          <w:lang w:eastAsia="en-US"/>
        </w:rPr>
        <w:t>ljnjih akcija sa svrhom racionalne primjene antibiotika veterinars</w:t>
      </w:r>
      <w:r w:rsidR="00F409B3">
        <w:rPr>
          <w:rFonts w:eastAsiaTheme="minorHAnsi"/>
          <w:color w:val="2D2728"/>
          <w:lang w:eastAsia="en-US"/>
        </w:rPr>
        <w:t>k</w:t>
      </w:r>
      <w:r w:rsidRPr="008C100C">
        <w:rPr>
          <w:rFonts w:eastAsiaTheme="minorHAnsi"/>
          <w:color w:val="2D2728"/>
          <w:lang w:eastAsia="en-US"/>
        </w:rPr>
        <w:t>o medicinskih proizvoda.</w:t>
      </w:r>
    </w:p>
    <w:p w:rsidR="007D4508" w:rsidRPr="00D8766F" w:rsidRDefault="00952A25" w:rsidP="00422895">
      <w:pPr>
        <w:pStyle w:val="Naslov2"/>
      </w:pPr>
      <w:bookmarkStart w:id="22" w:name="_Toc430654024"/>
      <w:bookmarkStart w:id="23" w:name="_Toc498334039"/>
      <w:r>
        <w:t>5</w:t>
      </w:r>
      <w:r w:rsidR="007D4508" w:rsidRPr="00D8766F">
        <w:t>.2.</w:t>
      </w:r>
      <w:r w:rsidR="007D4508" w:rsidRPr="00D8766F">
        <w:tab/>
        <w:t>Praćenje potrošnje anti</w:t>
      </w:r>
      <w:r w:rsidR="007D4508">
        <w:t>mikrobnih lijekova</w:t>
      </w:r>
      <w:bookmarkEnd w:id="22"/>
      <w:bookmarkEnd w:id="23"/>
      <w:r w:rsidR="007D4508" w:rsidRPr="00D8766F">
        <w:t xml:space="preserve"> </w:t>
      </w:r>
    </w:p>
    <w:p w:rsidR="007D4508" w:rsidRPr="00D8766F" w:rsidRDefault="007D4508" w:rsidP="007D4508">
      <w:pPr>
        <w:autoSpaceDE w:val="0"/>
        <w:autoSpaceDN w:val="0"/>
        <w:adjustRightInd w:val="0"/>
        <w:jc w:val="both"/>
        <w:rPr>
          <w:lang w:eastAsia="en-US"/>
        </w:rPr>
      </w:pPr>
    </w:p>
    <w:p w:rsidR="007D4508" w:rsidRDefault="007D4508" w:rsidP="007D4508">
      <w:pPr>
        <w:autoSpaceDE w:val="0"/>
        <w:autoSpaceDN w:val="0"/>
        <w:adjustRightInd w:val="0"/>
        <w:jc w:val="both"/>
      </w:pPr>
      <w:r>
        <w:t xml:space="preserve">Paralelno uz praćenje otpornosti bakterija na antibiotike razvilo se i praćenje potrošnje antimikrobnih lijekova u skladu s europskim programom praćenja potrošnje antibiotika (ESAC-Net ECDC-a). </w:t>
      </w:r>
      <w:r w:rsidR="00816EE4" w:rsidRPr="008F3A2B">
        <w:t xml:space="preserve">ISKRA </w:t>
      </w:r>
      <w:r w:rsidR="00816EE4" w:rsidRPr="00816EE4">
        <w:t>će</w:t>
      </w:r>
      <w:r w:rsidRPr="00816EE4">
        <w:t xml:space="preserve"> </w:t>
      </w:r>
      <w:r w:rsidR="00816EE4">
        <w:t xml:space="preserve">provodit </w:t>
      </w:r>
      <w:r>
        <w:t>slijedeće aktivnosti i u narednom razdoblju:</w:t>
      </w:r>
    </w:p>
    <w:p w:rsidR="007D4508" w:rsidRDefault="007D4508" w:rsidP="007D4508">
      <w:pPr>
        <w:numPr>
          <w:ilvl w:val="0"/>
          <w:numId w:val="6"/>
        </w:numPr>
        <w:autoSpaceDE w:val="0"/>
        <w:autoSpaceDN w:val="0"/>
        <w:adjustRightInd w:val="0"/>
        <w:jc w:val="both"/>
        <w:rPr>
          <w:lang w:eastAsia="en-US"/>
        </w:rPr>
      </w:pPr>
      <w:r>
        <w:t>Praćenje potrošnje antimikrobnih lijekova u bolnicama</w:t>
      </w:r>
    </w:p>
    <w:p w:rsidR="007D4508" w:rsidRDefault="007D4508" w:rsidP="007D4508">
      <w:pPr>
        <w:numPr>
          <w:ilvl w:val="0"/>
          <w:numId w:val="6"/>
        </w:numPr>
        <w:autoSpaceDE w:val="0"/>
        <w:autoSpaceDN w:val="0"/>
        <w:adjustRightInd w:val="0"/>
        <w:jc w:val="both"/>
        <w:rPr>
          <w:lang w:eastAsia="en-US"/>
        </w:rPr>
      </w:pPr>
      <w:r>
        <w:t>Praćenje potrošnje antimikrobnih lijekova u izvanbolničkom sektoru</w:t>
      </w:r>
    </w:p>
    <w:p w:rsidR="00173835" w:rsidRPr="007951BF" w:rsidRDefault="00173835" w:rsidP="007D4508">
      <w:pPr>
        <w:numPr>
          <w:ilvl w:val="0"/>
          <w:numId w:val="6"/>
        </w:numPr>
        <w:autoSpaceDE w:val="0"/>
        <w:autoSpaceDN w:val="0"/>
        <w:adjustRightInd w:val="0"/>
        <w:jc w:val="both"/>
        <w:rPr>
          <w:lang w:eastAsia="en-US"/>
        </w:rPr>
      </w:pPr>
      <w:r w:rsidRPr="007951BF">
        <w:t>Praćenje podataka o opsegu prodaje antimikrobnih veterin</w:t>
      </w:r>
      <w:r w:rsidR="0082587E" w:rsidRPr="007951BF">
        <w:t>ar</w:t>
      </w:r>
      <w:r w:rsidRPr="007951BF">
        <w:t>sko medicinskih proizvoda</w:t>
      </w:r>
    </w:p>
    <w:p w:rsidR="007D4508" w:rsidRDefault="007D4508" w:rsidP="00210BD0">
      <w:pPr>
        <w:numPr>
          <w:ilvl w:val="0"/>
          <w:numId w:val="6"/>
        </w:numPr>
        <w:autoSpaceDE w:val="0"/>
        <w:autoSpaceDN w:val="0"/>
        <w:adjustRightInd w:val="0"/>
        <w:jc w:val="both"/>
      </w:pPr>
      <w:r>
        <w:t>Sudjelovanje u europskom programu praćenja potrošn</w:t>
      </w:r>
      <w:r w:rsidR="00673AE8">
        <w:t>je antimikrobnih lijekova.</w:t>
      </w:r>
    </w:p>
    <w:p w:rsidR="00673AE8" w:rsidRPr="00D8766F" w:rsidRDefault="00673AE8" w:rsidP="00673AE8">
      <w:pPr>
        <w:autoSpaceDE w:val="0"/>
        <w:autoSpaceDN w:val="0"/>
        <w:adjustRightInd w:val="0"/>
        <w:ind w:left="720"/>
        <w:jc w:val="both"/>
      </w:pPr>
    </w:p>
    <w:p w:rsidR="007D4508" w:rsidRPr="00D8766F" w:rsidRDefault="007D4508" w:rsidP="007D4508">
      <w:pPr>
        <w:autoSpaceDE w:val="0"/>
        <w:autoSpaceDN w:val="0"/>
        <w:adjustRightInd w:val="0"/>
        <w:jc w:val="both"/>
      </w:pPr>
      <w:r w:rsidRPr="00D8766F">
        <w:t>Rezultati praćenja potrošnje anti</w:t>
      </w:r>
      <w:r>
        <w:t>mikrobnih lijekova omogućit će</w:t>
      </w:r>
      <w:r w:rsidRPr="00D8766F">
        <w:t xml:space="preserve"> sljedeće:</w:t>
      </w:r>
    </w:p>
    <w:p w:rsidR="007D4508" w:rsidRPr="00D8766F" w:rsidRDefault="007D4508" w:rsidP="007D4508">
      <w:pPr>
        <w:numPr>
          <w:ilvl w:val="0"/>
          <w:numId w:val="6"/>
        </w:numPr>
        <w:autoSpaceDE w:val="0"/>
        <w:autoSpaceDN w:val="0"/>
        <w:adjustRightInd w:val="0"/>
        <w:jc w:val="both"/>
        <w:rPr>
          <w:lang w:eastAsia="en-US"/>
        </w:rPr>
      </w:pPr>
      <w:r w:rsidRPr="00D8766F">
        <w:t>Korelaciju između razine otpornosti bakterija na antibiotike i potrošnje antibiotika u medicini</w:t>
      </w:r>
    </w:p>
    <w:p w:rsidR="007D4508" w:rsidRPr="00D8766F" w:rsidRDefault="007D4508" w:rsidP="007D4508">
      <w:pPr>
        <w:numPr>
          <w:ilvl w:val="0"/>
          <w:numId w:val="6"/>
        </w:numPr>
        <w:autoSpaceDE w:val="0"/>
        <w:autoSpaceDN w:val="0"/>
        <w:adjustRightInd w:val="0"/>
        <w:jc w:val="both"/>
        <w:rPr>
          <w:lang w:eastAsia="en-US"/>
        </w:rPr>
      </w:pPr>
      <w:r w:rsidRPr="00D8766F">
        <w:rPr>
          <w:lang w:eastAsia="en-US"/>
        </w:rPr>
        <w:t>Razmjenu podataka o potrošnji anti</w:t>
      </w:r>
      <w:r>
        <w:rPr>
          <w:lang w:eastAsia="en-US"/>
        </w:rPr>
        <w:t>mikrobnih lijekova</w:t>
      </w:r>
      <w:r w:rsidR="002C5D1B">
        <w:rPr>
          <w:lang w:eastAsia="en-US"/>
        </w:rPr>
        <w:t xml:space="preserve"> s </w:t>
      </w:r>
      <w:r w:rsidRPr="00D8766F">
        <w:rPr>
          <w:lang w:eastAsia="en-US"/>
        </w:rPr>
        <w:t>zemljama Europe i svijeta</w:t>
      </w:r>
    </w:p>
    <w:p w:rsidR="007D4508" w:rsidRPr="00D8766F" w:rsidRDefault="007D4508" w:rsidP="007D4508">
      <w:pPr>
        <w:numPr>
          <w:ilvl w:val="0"/>
          <w:numId w:val="6"/>
        </w:numPr>
        <w:autoSpaceDE w:val="0"/>
        <w:autoSpaceDN w:val="0"/>
        <w:adjustRightInd w:val="0"/>
        <w:jc w:val="both"/>
        <w:rPr>
          <w:lang w:eastAsia="en-US"/>
        </w:rPr>
      </w:pPr>
      <w:r>
        <w:rPr>
          <w:lang w:eastAsia="en-US"/>
        </w:rPr>
        <w:t>Procjenu kvalitete uporabe antimikrobnih lijekova koristeći postojeće i/ili razvojem novih indikatora kvalitete</w:t>
      </w:r>
    </w:p>
    <w:p w:rsidR="007D4508" w:rsidRDefault="007D4508" w:rsidP="007D4508">
      <w:pPr>
        <w:numPr>
          <w:ilvl w:val="0"/>
          <w:numId w:val="6"/>
        </w:numPr>
        <w:autoSpaceDE w:val="0"/>
        <w:autoSpaceDN w:val="0"/>
        <w:adjustRightInd w:val="0"/>
        <w:jc w:val="both"/>
        <w:rPr>
          <w:lang w:eastAsia="en-US"/>
        </w:rPr>
      </w:pPr>
      <w:r w:rsidRPr="00D8766F">
        <w:t>Procjenu učinka pojedinih intervencija u racionali</w:t>
      </w:r>
      <w:r>
        <w:t>zaciji propisivanja antimikrobnih lijekova</w:t>
      </w:r>
    </w:p>
    <w:p w:rsidR="007D4508" w:rsidRPr="00D8766F" w:rsidRDefault="007D4508" w:rsidP="007D4508">
      <w:pPr>
        <w:numPr>
          <w:ilvl w:val="0"/>
          <w:numId w:val="6"/>
        </w:numPr>
        <w:autoSpaceDE w:val="0"/>
        <w:autoSpaceDN w:val="0"/>
        <w:adjustRightInd w:val="0"/>
        <w:jc w:val="both"/>
        <w:rPr>
          <w:lang w:eastAsia="en-US"/>
        </w:rPr>
      </w:pPr>
      <w:r>
        <w:t>Usmjeravan</w:t>
      </w:r>
      <w:r w:rsidR="00CE6B2E">
        <w:t xml:space="preserve">je </w:t>
      </w:r>
      <w:r>
        <w:t>daljnjih akcija sa svrhom racionalizacije primjene antimikrobnih lijekova.</w:t>
      </w:r>
    </w:p>
    <w:p w:rsidR="007D4508" w:rsidRPr="00D8766F" w:rsidRDefault="007D4508" w:rsidP="007D4508">
      <w:pPr>
        <w:autoSpaceDE w:val="0"/>
        <w:autoSpaceDN w:val="0"/>
        <w:adjustRightInd w:val="0"/>
        <w:jc w:val="both"/>
        <w:rPr>
          <w:lang w:eastAsia="en-US"/>
        </w:rPr>
      </w:pPr>
    </w:p>
    <w:p w:rsidR="007D4508" w:rsidRDefault="007D4508" w:rsidP="007D4508">
      <w:pPr>
        <w:autoSpaceDE w:val="0"/>
        <w:autoSpaceDN w:val="0"/>
        <w:adjustRightInd w:val="0"/>
        <w:jc w:val="both"/>
        <w:rPr>
          <w:lang w:eastAsia="en-US"/>
        </w:rPr>
      </w:pPr>
    </w:p>
    <w:p w:rsidR="004B0F4A" w:rsidRDefault="004B0F4A" w:rsidP="007D4508">
      <w:pPr>
        <w:autoSpaceDE w:val="0"/>
        <w:autoSpaceDN w:val="0"/>
        <w:adjustRightInd w:val="0"/>
        <w:jc w:val="both"/>
        <w:rPr>
          <w:lang w:eastAsia="en-US"/>
        </w:rPr>
      </w:pPr>
    </w:p>
    <w:p w:rsidR="007D4508" w:rsidRPr="00422895" w:rsidRDefault="00952A25" w:rsidP="00422895">
      <w:pPr>
        <w:pStyle w:val="Naslov2"/>
      </w:pPr>
      <w:bookmarkStart w:id="24" w:name="_Toc430654025"/>
      <w:bookmarkStart w:id="25" w:name="_Toc498334040"/>
      <w:r w:rsidRPr="00422895">
        <w:t>5</w:t>
      </w:r>
      <w:r w:rsidR="007D4508" w:rsidRPr="00422895">
        <w:t>.3.</w:t>
      </w:r>
      <w:r w:rsidR="007D4508" w:rsidRPr="00422895">
        <w:tab/>
        <w:t>Promicanje odgovorne uporabe antimikrobnih lijekova</w:t>
      </w:r>
      <w:bookmarkEnd w:id="24"/>
      <w:bookmarkEnd w:id="25"/>
    </w:p>
    <w:p w:rsidR="007D4508" w:rsidRDefault="007D4508" w:rsidP="007D4508">
      <w:pPr>
        <w:jc w:val="both"/>
        <w:rPr>
          <w:highlight w:val="yellow"/>
        </w:rPr>
      </w:pPr>
    </w:p>
    <w:p w:rsidR="007D4508" w:rsidRPr="00422895" w:rsidRDefault="00952A25" w:rsidP="00422895">
      <w:pPr>
        <w:pStyle w:val="Naslov3"/>
      </w:pPr>
      <w:bookmarkStart w:id="26" w:name="_Toc498334041"/>
      <w:r w:rsidRPr="00422895">
        <w:t>5.</w:t>
      </w:r>
      <w:r w:rsidR="007D4508" w:rsidRPr="00422895">
        <w:t xml:space="preserve">3.1. </w:t>
      </w:r>
      <w:r w:rsidR="004D0FB9">
        <w:t>Edukacija o racionalnoj uporabi antibiotika tijekom studija</w:t>
      </w:r>
      <w:bookmarkEnd w:id="26"/>
      <w:r w:rsidR="007D4508" w:rsidRPr="00422895">
        <w:t xml:space="preserve"> </w:t>
      </w:r>
    </w:p>
    <w:p w:rsidR="007D4508" w:rsidRPr="00EB1DFF" w:rsidRDefault="007D4508" w:rsidP="007D4508">
      <w:pPr>
        <w:jc w:val="both"/>
      </w:pPr>
    </w:p>
    <w:p w:rsidR="00173835" w:rsidRPr="007951BF" w:rsidRDefault="007D4508" w:rsidP="00E02FD0">
      <w:pPr>
        <w:jc w:val="both"/>
        <w:rPr>
          <w:color w:val="000000" w:themeColor="text1"/>
        </w:rPr>
      </w:pPr>
      <w:r w:rsidRPr="004A5305">
        <w:t xml:space="preserve">Edukaciju o racionalnoj uporabi antibiotika treba provoditi na različitim razinama </w:t>
      </w:r>
      <w:r>
        <w:t xml:space="preserve">tijekom školovanja </w:t>
      </w:r>
      <w:r w:rsidR="004503DF">
        <w:t>radnika</w:t>
      </w:r>
      <w:r>
        <w:t xml:space="preserve"> u humanoj i veterinarskoj medicini, farmaciji i ostalim strukama koje sudjeluju u propisivanju i distribuciji antibiotika. To će zahtijevati prilagodbu nastavnih </w:t>
      </w:r>
      <w:r w:rsidRPr="007951BF">
        <w:rPr>
          <w:color w:val="000000" w:themeColor="text1"/>
        </w:rPr>
        <w:t xml:space="preserve">programa </w:t>
      </w:r>
      <w:r w:rsidR="00173835" w:rsidRPr="004503DF">
        <w:rPr>
          <w:color w:val="000000" w:themeColor="text1"/>
        </w:rPr>
        <w:t xml:space="preserve">za </w:t>
      </w:r>
      <w:r w:rsidR="00FB55A6">
        <w:rPr>
          <w:color w:val="000000" w:themeColor="text1"/>
        </w:rPr>
        <w:t xml:space="preserve">sveučilišne, specijalističke i stručne </w:t>
      </w:r>
      <w:r w:rsidR="004D0FB9">
        <w:rPr>
          <w:color w:val="000000" w:themeColor="text1"/>
        </w:rPr>
        <w:t>studij</w:t>
      </w:r>
      <w:r w:rsidR="00FB55A6">
        <w:rPr>
          <w:color w:val="000000" w:themeColor="text1"/>
        </w:rPr>
        <w:t>e</w:t>
      </w:r>
      <w:r w:rsidR="004D0FB9">
        <w:rPr>
          <w:color w:val="000000" w:themeColor="text1"/>
        </w:rPr>
        <w:t xml:space="preserve"> </w:t>
      </w:r>
      <w:r w:rsidR="004D0FB9" w:rsidRPr="004D0FB9">
        <w:t xml:space="preserve">u </w:t>
      </w:r>
      <w:r w:rsidR="00173835" w:rsidRPr="004D0FB9">
        <w:rPr>
          <w:color w:val="000000" w:themeColor="text1"/>
        </w:rPr>
        <w:t>području</w:t>
      </w:r>
      <w:r w:rsidR="00173835" w:rsidRPr="007951BF">
        <w:rPr>
          <w:color w:val="000000" w:themeColor="text1"/>
        </w:rPr>
        <w:t xml:space="preserve"> biomedicine i zdravstva </w:t>
      </w:r>
      <w:r w:rsidR="004D0FB9">
        <w:rPr>
          <w:color w:val="000000" w:themeColor="text1"/>
        </w:rPr>
        <w:t xml:space="preserve">usmjeravanjem </w:t>
      </w:r>
      <w:r w:rsidR="00173835" w:rsidRPr="007951BF">
        <w:rPr>
          <w:color w:val="000000" w:themeColor="text1"/>
        </w:rPr>
        <w:t>edukacije o praktičnoj primjeni antibiotika u najčešćim kliničkim indikacijama</w:t>
      </w:r>
      <w:r w:rsidR="00E02FD0" w:rsidRPr="007951BF">
        <w:rPr>
          <w:color w:val="000000" w:themeColor="text1"/>
        </w:rPr>
        <w:t xml:space="preserve"> u </w:t>
      </w:r>
      <w:r w:rsidR="00173835" w:rsidRPr="007951BF">
        <w:rPr>
          <w:color w:val="000000" w:themeColor="text1"/>
        </w:rPr>
        <w:t>skladu sa nacionalnim i internacionalnim smjernicama.</w:t>
      </w:r>
    </w:p>
    <w:p w:rsidR="007D4508" w:rsidRPr="007951BF" w:rsidRDefault="007D4508" w:rsidP="00E02FD0">
      <w:pPr>
        <w:autoSpaceDE w:val="0"/>
        <w:autoSpaceDN w:val="0"/>
        <w:adjustRightInd w:val="0"/>
        <w:jc w:val="both"/>
        <w:rPr>
          <w:color w:val="000000" w:themeColor="text1"/>
          <w:lang w:eastAsia="en-US"/>
        </w:rPr>
      </w:pPr>
      <w:r w:rsidRPr="007951BF">
        <w:rPr>
          <w:color w:val="000000" w:themeColor="text1"/>
          <w:lang w:eastAsia="en-US"/>
        </w:rPr>
        <w:t>Dodatna edukacija o primjeni antibiotika odvijat će se kroz tečajeve trajnog stručnog usavršavanja te stručne i znanstven</w:t>
      </w:r>
      <w:r w:rsidR="00D367D7" w:rsidRPr="007951BF">
        <w:rPr>
          <w:color w:val="000000" w:themeColor="text1"/>
          <w:lang w:eastAsia="en-US"/>
        </w:rPr>
        <w:t>e</w:t>
      </w:r>
      <w:r w:rsidRPr="007951BF">
        <w:rPr>
          <w:color w:val="000000" w:themeColor="text1"/>
          <w:lang w:eastAsia="en-US"/>
        </w:rPr>
        <w:t xml:space="preserve"> skupove.</w:t>
      </w:r>
    </w:p>
    <w:p w:rsidR="007D4508" w:rsidRDefault="007D4508" w:rsidP="007D4508">
      <w:pPr>
        <w:autoSpaceDE w:val="0"/>
        <w:autoSpaceDN w:val="0"/>
        <w:adjustRightInd w:val="0"/>
        <w:ind w:left="708"/>
        <w:jc w:val="both"/>
        <w:outlineLvl w:val="0"/>
        <w:rPr>
          <w:b/>
          <w:sz w:val="28"/>
          <w:szCs w:val="28"/>
        </w:rPr>
      </w:pPr>
    </w:p>
    <w:p w:rsidR="007D4508" w:rsidRPr="00EB1DFF" w:rsidRDefault="00952A25" w:rsidP="00422895">
      <w:pPr>
        <w:pStyle w:val="Naslov3"/>
        <w:rPr>
          <w:lang w:eastAsia="en-US"/>
        </w:rPr>
      </w:pPr>
      <w:bookmarkStart w:id="27" w:name="_Toc430653472"/>
      <w:bookmarkStart w:id="28" w:name="_Toc498334042"/>
      <w:r>
        <w:t>5</w:t>
      </w:r>
      <w:r w:rsidR="007D4508" w:rsidRPr="00EB1DFF">
        <w:t xml:space="preserve">.3.2. </w:t>
      </w:r>
      <w:r w:rsidR="007D4508" w:rsidRPr="00EB1DFF">
        <w:tab/>
        <w:t>Donošenje smjernica za racionalnu primjenu antimikrobnih lijekova</w:t>
      </w:r>
      <w:bookmarkEnd w:id="27"/>
      <w:bookmarkEnd w:id="28"/>
    </w:p>
    <w:p w:rsidR="007D4508" w:rsidRDefault="007D4508" w:rsidP="007D4508">
      <w:pPr>
        <w:autoSpaceDE w:val="0"/>
        <w:autoSpaceDN w:val="0"/>
        <w:adjustRightInd w:val="0"/>
        <w:jc w:val="both"/>
        <w:rPr>
          <w:lang w:eastAsia="en-US"/>
        </w:rPr>
      </w:pPr>
    </w:p>
    <w:p w:rsidR="007D4508" w:rsidRDefault="007D4508" w:rsidP="007D4508">
      <w:pPr>
        <w:autoSpaceDE w:val="0"/>
        <w:autoSpaceDN w:val="0"/>
        <w:adjustRightInd w:val="0"/>
        <w:jc w:val="both"/>
        <w:rPr>
          <w:lang w:eastAsia="en-US"/>
        </w:rPr>
      </w:pPr>
      <w:r>
        <w:rPr>
          <w:lang w:eastAsia="en-US"/>
        </w:rPr>
        <w:t xml:space="preserve">U prethodnom petogodišnjem nacionalnom programu izrađene su prve nacionalne smjernice za primjenu antibiotika u nekim najčešćim kliničkim indikacijama. I u narednom razdoblju </w:t>
      </w:r>
      <w:r w:rsidR="00266A7F">
        <w:rPr>
          <w:i/>
        </w:rPr>
        <w:t xml:space="preserve">ISKRA </w:t>
      </w:r>
      <w:r w:rsidR="00266A7F" w:rsidRPr="00266A7F">
        <w:t>će</w:t>
      </w:r>
      <w:r w:rsidRPr="00266A7F">
        <w:t xml:space="preserve"> </w:t>
      </w:r>
      <w:r w:rsidR="00266A7F">
        <w:rPr>
          <w:lang w:eastAsia="en-US"/>
        </w:rPr>
        <w:t>poticat</w:t>
      </w:r>
      <w:r>
        <w:rPr>
          <w:lang w:eastAsia="en-US"/>
        </w:rPr>
        <w:t xml:space="preserve"> </w:t>
      </w:r>
      <w:r w:rsidRPr="00D8766F">
        <w:rPr>
          <w:lang w:eastAsia="en-US"/>
        </w:rPr>
        <w:t xml:space="preserve">donošenje smjernica temeljenih na dokazima o racionalnoj primjeni antibiotika za </w:t>
      </w:r>
      <w:r>
        <w:rPr>
          <w:lang w:eastAsia="en-US"/>
        </w:rPr>
        <w:t>dodatne</w:t>
      </w:r>
      <w:r w:rsidRPr="00D8766F">
        <w:rPr>
          <w:lang w:eastAsia="en-US"/>
        </w:rPr>
        <w:t xml:space="preserve"> kliničke</w:t>
      </w:r>
      <w:r>
        <w:rPr>
          <w:lang w:eastAsia="en-US"/>
        </w:rPr>
        <w:t xml:space="preserve"> indikacije te revidiranje postojećih smjernica. Smjernice će biti sastavljane kao konsenzus svih zainteresiranih stručnih društava i institucija koji će morati posebne napore usmjeriti na njihovu implementaciju u praksi.</w:t>
      </w:r>
    </w:p>
    <w:p w:rsidR="00952A25" w:rsidRDefault="00952A25" w:rsidP="007D4508">
      <w:pPr>
        <w:autoSpaceDE w:val="0"/>
        <w:autoSpaceDN w:val="0"/>
        <w:adjustRightInd w:val="0"/>
        <w:jc w:val="both"/>
        <w:rPr>
          <w:lang w:eastAsia="en-US"/>
        </w:rPr>
      </w:pPr>
    </w:p>
    <w:p w:rsidR="007D4508" w:rsidRPr="00EB1DFF" w:rsidRDefault="00952A25" w:rsidP="00422895">
      <w:pPr>
        <w:pStyle w:val="Naslov3"/>
      </w:pPr>
      <w:bookmarkStart w:id="29" w:name="_Toc430653473"/>
      <w:bookmarkStart w:id="30" w:name="_Toc498334043"/>
      <w:r>
        <w:t>5</w:t>
      </w:r>
      <w:r w:rsidR="007D4508" w:rsidRPr="00EB1DFF">
        <w:t>.3.3. Unaprjeđivanje brze mikrobiološke dijagnostike</w:t>
      </w:r>
      <w:bookmarkEnd w:id="29"/>
      <w:bookmarkEnd w:id="30"/>
    </w:p>
    <w:p w:rsidR="007D4508" w:rsidRPr="00D8766F" w:rsidRDefault="007D4508" w:rsidP="00422895">
      <w:pPr>
        <w:pStyle w:val="Naslov3"/>
        <w:rPr>
          <w:lang w:eastAsia="en-US"/>
        </w:rPr>
      </w:pPr>
    </w:p>
    <w:p w:rsidR="007D4508" w:rsidRDefault="0083008B" w:rsidP="007D4508">
      <w:pPr>
        <w:autoSpaceDE w:val="0"/>
        <w:autoSpaceDN w:val="0"/>
        <w:adjustRightInd w:val="0"/>
        <w:jc w:val="both"/>
        <w:rPr>
          <w:lang w:eastAsia="en-US"/>
        </w:rPr>
      </w:pPr>
      <w:r>
        <w:t>Ministarstvo zdravstva</w:t>
      </w:r>
      <w:r w:rsidR="007D4508">
        <w:t xml:space="preserve"> će </w:t>
      </w:r>
      <w:r w:rsidR="007D4508">
        <w:rPr>
          <w:lang w:eastAsia="en-US"/>
        </w:rPr>
        <w:t xml:space="preserve">poticati razvoj kliničke mikrobiologije usmjerene na što bržu etiološku dijagnostiku infekcija. U tom </w:t>
      </w:r>
      <w:r w:rsidR="007D4508" w:rsidRPr="00460332">
        <w:rPr>
          <w:lang w:eastAsia="en-US"/>
        </w:rPr>
        <w:t>smislu mikrobiološka dijagnostika</w:t>
      </w:r>
      <w:r w:rsidR="007D4508">
        <w:rPr>
          <w:lang w:eastAsia="en-US"/>
        </w:rPr>
        <w:t xml:space="preserve"> za bolničke pacijente treba biti kontinuirano dostupna. Pored toga treba jačati konzultantsku ulogu kliničkih mikrobiologa u indiciranju mikrobioloških pretraga i individualnoj interpretaciji mikrobioloških nalaza. Također treba pratiti tehnološki razvoj mikrobiološke dijagnostike koji omogućuje brzu identifikaciju bakterijskih, virusnih i gljivičnih uzročnika te genetske determinante njihove otpornosti na antibiotike. Brza dijagnostika vodi ranijem fokusiranju antimikrobne terapije i očuvanju širokospektralnih antibiotika koji se primjenjuju</w:t>
      </w:r>
      <w:r w:rsidR="00E02FD0">
        <w:rPr>
          <w:lang w:eastAsia="en-US"/>
        </w:rPr>
        <w:t xml:space="preserve"> </w:t>
      </w:r>
      <w:r w:rsidR="007D4508">
        <w:rPr>
          <w:lang w:eastAsia="en-US"/>
        </w:rPr>
        <w:t xml:space="preserve">empirijski.  </w:t>
      </w:r>
    </w:p>
    <w:p w:rsidR="007D4508" w:rsidRDefault="007D4508" w:rsidP="007D4508">
      <w:pPr>
        <w:autoSpaceDE w:val="0"/>
        <w:autoSpaceDN w:val="0"/>
        <w:adjustRightInd w:val="0"/>
        <w:jc w:val="both"/>
        <w:rPr>
          <w:lang w:eastAsia="en-US"/>
        </w:rPr>
      </w:pPr>
    </w:p>
    <w:p w:rsidR="007D4508" w:rsidRPr="00EB1DFF" w:rsidRDefault="00952A25" w:rsidP="00422895">
      <w:pPr>
        <w:pStyle w:val="Naslov3"/>
        <w:rPr>
          <w:lang w:eastAsia="en-US"/>
        </w:rPr>
      </w:pPr>
      <w:bookmarkStart w:id="31" w:name="_Toc498334044"/>
      <w:r>
        <w:rPr>
          <w:lang w:eastAsia="en-US"/>
        </w:rPr>
        <w:t>5</w:t>
      </w:r>
      <w:r w:rsidR="007D4508" w:rsidRPr="00EB1DFF">
        <w:rPr>
          <w:lang w:eastAsia="en-US"/>
        </w:rPr>
        <w:t>.3.4. Rukovođenje antimikrobnom terapijom</w:t>
      </w:r>
      <w:bookmarkEnd w:id="31"/>
      <w:r w:rsidR="007D4508" w:rsidRPr="00EB1DFF">
        <w:rPr>
          <w:lang w:eastAsia="en-US"/>
        </w:rPr>
        <w:t xml:space="preserve"> </w:t>
      </w:r>
    </w:p>
    <w:p w:rsidR="007D4508" w:rsidRDefault="007D4508" w:rsidP="007D4508">
      <w:pPr>
        <w:autoSpaceDE w:val="0"/>
        <w:autoSpaceDN w:val="0"/>
        <w:adjustRightInd w:val="0"/>
        <w:jc w:val="both"/>
        <w:rPr>
          <w:lang w:eastAsia="en-US"/>
        </w:rPr>
      </w:pPr>
    </w:p>
    <w:p w:rsidR="007D4508" w:rsidRPr="004525D7" w:rsidRDefault="007D4508" w:rsidP="007D4508">
      <w:pPr>
        <w:autoSpaceDE w:val="0"/>
        <w:autoSpaceDN w:val="0"/>
        <w:adjustRightInd w:val="0"/>
        <w:jc w:val="both"/>
        <w:rPr>
          <w:lang w:eastAsia="en-US"/>
        </w:rPr>
      </w:pPr>
      <w:r>
        <w:rPr>
          <w:lang w:eastAsia="en-US"/>
        </w:rPr>
        <w:t>S obzirom na brze razvoje različitih mehanizama koji ne dovode nužno do jednakih razina otpornosti na antibiotike potrebno je postojeće antibiotike maksimalno učinkovito primjenjivati. Primjena antibiotika u kliničkoj praksi kod bolesnika opterećenih mnogim drugim bolestima osim infekcije danas je mnogo kompliciranija negoli u počecima antimikrobne ere i zahtjeva vodstvo stručnog tima. U predstojećem razdoblju treba jačati konzultantsku ulogu infektologa, kliničkih mikrobiologa, kliničkih farmakologa i</w:t>
      </w:r>
      <w:r w:rsidR="001F4E24">
        <w:rPr>
          <w:lang w:eastAsia="en-US"/>
        </w:rPr>
        <w:t xml:space="preserve"> kliničkih farmaceuta u optimi</w:t>
      </w:r>
      <w:r>
        <w:rPr>
          <w:lang w:eastAsia="en-US"/>
        </w:rPr>
        <w:t xml:space="preserve">zaciji primjene antibiotika. Odluku o izboru pravog antibiotika, u pravoj dozi, u pravo vrijeme i uz pravu duljinu primjene najbolje može donijeti tim navedenih stručnjaka te takve timove treba oformiti u svakoj bolnici. Kao i mnoge europske zemlje </w:t>
      </w:r>
      <w:r w:rsidR="00604004">
        <w:rPr>
          <w:lang w:eastAsia="en-US"/>
        </w:rPr>
        <w:t xml:space="preserve">Republika </w:t>
      </w:r>
      <w:r>
        <w:rPr>
          <w:lang w:eastAsia="en-US"/>
        </w:rPr>
        <w:t>Hrv</w:t>
      </w:r>
      <w:r w:rsidR="001F4E24">
        <w:rPr>
          <w:lang w:eastAsia="en-US"/>
        </w:rPr>
        <w:t xml:space="preserve">atska će morati ulagati napore </w:t>
      </w:r>
      <w:r>
        <w:rPr>
          <w:lang w:eastAsia="en-US"/>
        </w:rPr>
        <w:t xml:space="preserve">u edukaciju ovih timova, a rukovođenje antimikrobnom terapijom (engl. „antimicrobial stewardship“) će morati biti pojačani sadržaj </w:t>
      </w:r>
      <w:r w:rsidR="00441BE1" w:rsidRPr="00441BE1">
        <w:rPr>
          <w:lang w:eastAsia="en-US"/>
        </w:rPr>
        <w:t>kurikul</w:t>
      </w:r>
      <w:r w:rsidR="00441BE1">
        <w:rPr>
          <w:lang w:eastAsia="en-US"/>
        </w:rPr>
        <w:t>uma</w:t>
      </w:r>
      <w:r w:rsidR="00441BE1">
        <w:rPr>
          <w:i/>
          <w:lang w:eastAsia="en-US"/>
        </w:rPr>
        <w:t xml:space="preserve"> </w:t>
      </w:r>
      <w:r>
        <w:rPr>
          <w:lang w:eastAsia="en-US"/>
        </w:rPr>
        <w:t>ovih specijalizacija te češći sadržaj tečajeva trajnih usavršavanja. U bolnicama treba jačati programe rukovođenja antimikrobnom terapijom.</w:t>
      </w:r>
    </w:p>
    <w:p w:rsidR="007D4508" w:rsidRPr="00D8766F" w:rsidRDefault="007D4508" w:rsidP="007D4508">
      <w:pPr>
        <w:autoSpaceDE w:val="0"/>
        <w:autoSpaceDN w:val="0"/>
        <w:adjustRightInd w:val="0"/>
        <w:jc w:val="both"/>
        <w:rPr>
          <w:lang w:eastAsia="en-US"/>
        </w:rPr>
      </w:pPr>
    </w:p>
    <w:p w:rsidR="007D4508" w:rsidRPr="00EB1DFF" w:rsidRDefault="00952A25" w:rsidP="00422895">
      <w:pPr>
        <w:pStyle w:val="Naslov3"/>
      </w:pPr>
      <w:bookmarkStart w:id="32" w:name="_Toc430653474"/>
      <w:bookmarkStart w:id="33" w:name="_Toc498334045"/>
      <w:r>
        <w:t>5</w:t>
      </w:r>
      <w:r w:rsidR="007D4508" w:rsidRPr="00EB1DFF">
        <w:t>.3.5. Kontrola prodaje antimikrobnih lijekova</w:t>
      </w:r>
      <w:bookmarkEnd w:id="32"/>
      <w:bookmarkEnd w:id="33"/>
    </w:p>
    <w:p w:rsidR="007D4508" w:rsidRPr="00460332" w:rsidRDefault="007D4508" w:rsidP="007D4508">
      <w:pPr>
        <w:autoSpaceDE w:val="0"/>
        <w:autoSpaceDN w:val="0"/>
        <w:adjustRightInd w:val="0"/>
        <w:jc w:val="both"/>
        <w:rPr>
          <w:lang w:eastAsia="en-US"/>
        </w:rPr>
      </w:pPr>
    </w:p>
    <w:p w:rsidR="00CD14B7" w:rsidRDefault="007D4508" w:rsidP="007D4508">
      <w:pPr>
        <w:autoSpaceDE w:val="0"/>
        <w:autoSpaceDN w:val="0"/>
        <w:adjustRightInd w:val="0"/>
        <w:jc w:val="both"/>
        <w:rPr>
          <w:lang w:eastAsia="en-US"/>
        </w:rPr>
      </w:pPr>
      <w:r w:rsidRPr="00460332">
        <w:rPr>
          <w:lang w:eastAsia="en-US"/>
        </w:rPr>
        <w:t>Iako se antibiotici u Republici Hrvatskoj ne mogu nabaviti bez liječničkog recepta, kup</w:t>
      </w:r>
      <w:r w:rsidR="00441BE1">
        <w:rPr>
          <w:lang w:eastAsia="en-US"/>
        </w:rPr>
        <w:t>nja</w:t>
      </w:r>
      <w:r w:rsidRPr="00460332">
        <w:rPr>
          <w:lang w:eastAsia="en-US"/>
        </w:rPr>
        <w:t xml:space="preserve"> antibiotika bez recepta u ljekarnama te korištenje antibiotika na vlastitu odgovornost još uvijek predstavlja velik problem. </w:t>
      </w:r>
      <w:r w:rsidR="00266A7F">
        <w:rPr>
          <w:lang w:eastAsia="en-US"/>
        </w:rPr>
        <w:t>Edukacijom</w:t>
      </w:r>
      <w:r w:rsidRPr="00460332">
        <w:rPr>
          <w:lang w:eastAsia="en-US"/>
        </w:rPr>
        <w:t xml:space="preserve"> pučanstva </w:t>
      </w:r>
      <w:r w:rsidR="00266A7F">
        <w:rPr>
          <w:lang w:eastAsia="en-US"/>
        </w:rPr>
        <w:t xml:space="preserve">treba </w:t>
      </w:r>
      <w:r w:rsidRPr="00460332">
        <w:rPr>
          <w:lang w:eastAsia="en-US"/>
        </w:rPr>
        <w:t>smanj</w:t>
      </w:r>
      <w:r w:rsidR="00266A7F">
        <w:rPr>
          <w:lang w:eastAsia="en-US"/>
        </w:rPr>
        <w:t>it</w:t>
      </w:r>
      <w:r w:rsidRPr="00460332">
        <w:rPr>
          <w:lang w:eastAsia="en-US"/>
        </w:rPr>
        <w:t xml:space="preserve"> zahtjev</w:t>
      </w:r>
      <w:r w:rsidR="00266A7F">
        <w:rPr>
          <w:lang w:eastAsia="en-US"/>
        </w:rPr>
        <w:t>e</w:t>
      </w:r>
      <w:r w:rsidRPr="00460332">
        <w:rPr>
          <w:lang w:eastAsia="en-US"/>
        </w:rPr>
        <w:t xml:space="preserve"> za </w:t>
      </w:r>
      <w:r w:rsidR="00266A7F">
        <w:rPr>
          <w:lang w:eastAsia="en-US"/>
        </w:rPr>
        <w:t>izdavanjem</w:t>
      </w:r>
      <w:r w:rsidRPr="00460332">
        <w:rPr>
          <w:lang w:eastAsia="en-US"/>
        </w:rPr>
        <w:t xml:space="preserve"> antibiotika bez liječničkog recepta</w:t>
      </w:r>
      <w:r w:rsidR="00CD14B7">
        <w:rPr>
          <w:lang w:eastAsia="en-US"/>
        </w:rPr>
        <w:t>.</w:t>
      </w:r>
    </w:p>
    <w:p w:rsidR="007D4508" w:rsidRDefault="007D4508" w:rsidP="007D4508">
      <w:pPr>
        <w:autoSpaceDE w:val="0"/>
        <w:autoSpaceDN w:val="0"/>
        <w:adjustRightInd w:val="0"/>
        <w:jc w:val="both"/>
        <w:rPr>
          <w:lang w:eastAsia="en-US"/>
        </w:rPr>
      </w:pPr>
    </w:p>
    <w:p w:rsidR="007D4508" w:rsidRPr="009B1D88" w:rsidRDefault="007D4508" w:rsidP="007D4508">
      <w:pPr>
        <w:autoSpaceDE w:val="0"/>
        <w:autoSpaceDN w:val="0"/>
        <w:adjustRightInd w:val="0"/>
        <w:jc w:val="both"/>
        <w:rPr>
          <w:lang w:eastAsia="en-US"/>
        </w:rPr>
      </w:pPr>
    </w:p>
    <w:p w:rsidR="007D4508" w:rsidRPr="00952A25" w:rsidRDefault="007D4508" w:rsidP="008C100C">
      <w:pPr>
        <w:pStyle w:val="Naslov2"/>
        <w:numPr>
          <w:ilvl w:val="1"/>
          <w:numId w:val="7"/>
        </w:numPr>
        <w:ind w:left="567" w:hanging="567"/>
      </w:pPr>
      <w:bookmarkStart w:id="34" w:name="_Toc498334046"/>
      <w:r w:rsidRPr="00952A25">
        <w:t>Sprječavanje i kontrola širenja infekcija</w:t>
      </w:r>
      <w:bookmarkEnd w:id="34"/>
    </w:p>
    <w:p w:rsidR="007D4508" w:rsidRDefault="007D4508" w:rsidP="007D4508">
      <w:pPr>
        <w:jc w:val="both"/>
      </w:pPr>
    </w:p>
    <w:p w:rsidR="007D4508" w:rsidRDefault="007D4508" w:rsidP="007D4508">
      <w:pPr>
        <w:jc w:val="both"/>
      </w:pPr>
      <w:r>
        <w:t xml:space="preserve">U prethodnom razdoblju ostvarena je uspješna suradnja </w:t>
      </w:r>
      <w:r w:rsidR="00266A7F">
        <w:rPr>
          <w:i/>
        </w:rPr>
        <w:t xml:space="preserve">ISKRE </w:t>
      </w:r>
      <w:r>
        <w:rPr>
          <w:lang w:eastAsia="en-US"/>
        </w:rPr>
        <w:t xml:space="preserve">i </w:t>
      </w:r>
      <w:r w:rsidRPr="00EE2A40">
        <w:rPr>
          <w:i/>
        </w:rPr>
        <w:t>Povjerenstva za s</w:t>
      </w:r>
      <w:r>
        <w:rPr>
          <w:i/>
        </w:rPr>
        <w:t>prječavanje i suzbijanje bolničkih</w:t>
      </w:r>
      <w:r w:rsidRPr="00EE2A40">
        <w:rPr>
          <w:i/>
        </w:rPr>
        <w:t xml:space="preserve"> infekcija</w:t>
      </w:r>
      <w:r>
        <w:t xml:space="preserve"> Ministarstva zdrav</w:t>
      </w:r>
      <w:r w:rsidR="00266A7F">
        <w:t>stva</w:t>
      </w:r>
      <w:r>
        <w:t xml:space="preserve"> koja će se nastaviti i u sljedećem razdoblju. Iako mnogostruka otpornost na antibiotike nije samo ograničena na bolničke sojeve</w:t>
      </w:r>
      <w:r w:rsidR="00424DD9">
        <w:t>,</w:t>
      </w:r>
      <w:r>
        <w:t xml:space="preserve"> činjenica je da se mnogostruko otporne bakterije najlakše šire u bolničkoj sredini. Stoga je kontrola bolničkih infekcija izuzetno važna u kontroli širenja mnogostruko otpornih bakterija. </w:t>
      </w:r>
    </w:p>
    <w:p w:rsidR="007D4508" w:rsidRDefault="007D4508" w:rsidP="007D4508">
      <w:pPr>
        <w:jc w:val="both"/>
      </w:pPr>
      <w:r>
        <w:t xml:space="preserve">Značajnu ulogu u kontroli širenja mnogostruko otpornih bakterija ima provedba </w:t>
      </w:r>
      <w:r w:rsidR="00CD14B7">
        <w:t>n</w:t>
      </w:r>
      <w:r>
        <w:t>acionaln</w:t>
      </w:r>
      <w:r w:rsidR="00CD14B7">
        <w:t>ih</w:t>
      </w:r>
      <w:r>
        <w:t xml:space="preserve"> programa cijepljenja.</w:t>
      </w:r>
      <w:r w:rsidR="00441BE1">
        <w:t xml:space="preserve"> </w:t>
      </w:r>
      <w:r>
        <w:t>Neophodna je i prevencija i kontrola širenja infekcija u veterinarstvu i poljoprivredi.</w:t>
      </w:r>
    </w:p>
    <w:p w:rsidR="00EB1DFF" w:rsidRPr="00956FE3" w:rsidRDefault="00EB1DFF" w:rsidP="007D4508">
      <w:pPr>
        <w:jc w:val="both"/>
      </w:pPr>
    </w:p>
    <w:p w:rsidR="007D4508" w:rsidRPr="00422895" w:rsidRDefault="00422895" w:rsidP="00422895">
      <w:pPr>
        <w:pStyle w:val="Naslov2"/>
      </w:pPr>
      <w:bookmarkStart w:id="35" w:name="_Toc430654026"/>
      <w:bookmarkStart w:id="36" w:name="_Toc498334047"/>
      <w:r>
        <w:t xml:space="preserve">5.5. </w:t>
      </w:r>
      <w:r w:rsidR="007D4508" w:rsidRPr="00422895">
        <w:t>Podizanje svjesnosti o štetnosti prekomjerne uporabe antimikrobnih lijekova</w:t>
      </w:r>
      <w:bookmarkEnd w:id="35"/>
      <w:bookmarkEnd w:id="36"/>
    </w:p>
    <w:p w:rsidR="007D4508" w:rsidRDefault="007D4508" w:rsidP="007D4508">
      <w:pPr>
        <w:jc w:val="both"/>
      </w:pPr>
    </w:p>
    <w:p w:rsidR="007D4508" w:rsidRDefault="007F622E" w:rsidP="007D4508">
      <w:pPr>
        <w:jc w:val="both"/>
      </w:pPr>
      <w:r>
        <w:t>Građani često</w:t>
      </w:r>
      <w:r w:rsidR="007D4508">
        <w:t xml:space="preserve"> na vlastitu inicijativu koriste antibiotike koji nisu potrošeni u prethodnoj terapiji, a ponekad i antibiotike kupljene bez recepta u susjednim državama. Infekcije gornjih dišnih putova daleko su najčešće infekcije svake</w:t>
      </w:r>
      <w:r w:rsidR="00CD14B7">
        <w:t>,</w:t>
      </w:r>
      <w:r w:rsidR="007D4508">
        <w:t xml:space="preserve"> naročito dječje životne do</w:t>
      </w:r>
      <w:r>
        <w:t xml:space="preserve">bi, poglavito u zimskoj sezoni: najčešće </w:t>
      </w:r>
      <w:r w:rsidR="007D4508">
        <w:t xml:space="preserve">virusne etiologije </w:t>
      </w:r>
      <w:r w:rsidR="00CD14B7">
        <w:t xml:space="preserve">uz </w:t>
      </w:r>
      <w:r w:rsidR="007D4508">
        <w:t>nepotrebn</w:t>
      </w:r>
      <w:r w:rsidR="00CD14B7">
        <w:t>u</w:t>
      </w:r>
      <w:r w:rsidR="007D4508">
        <w:t xml:space="preserve"> terapij</w:t>
      </w:r>
      <w:r w:rsidR="00CD14B7">
        <w:t>u</w:t>
      </w:r>
      <w:r w:rsidR="007D4508">
        <w:t xml:space="preserve"> antibioticima, </w:t>
      </w:r>
      <w:r>
        <w:t xml:space="preserve">predstavljaju </w:t>
      </w:r>
      <w:r w:rsidR="007D4508">
        <w:t xml:space="preserve">krivu indikaciju za primjenu antibiotika. Imajući u vidu da se preko 90% antibiotika potroši izvanbolnički za blage i samoograničavajuće infekcije, često virusne etiologije, edukacija građana o štetnosti nepotrebne uporabe antibiotika je izrazito bitna. </w:t>
      </w:r>
    </w:p>
    <w:p w:rsidR="007D4508" w:rsidRDefault="007D4508" w:rsidP="007D4508">
      <w:pPr>
        <w:jc w:val="both"/>
      </w:pPr>
    </w:p>
    <w:p w:rsidR="007D4508" w:rsidRDefault="00604004" w:rsidP="007D4508">
      <w:pPr>
        <w:jc w:val="both"/>
      </w:pPr>
      <w:r>
        <w:t xml:space="preserve">Republika </w:t>
      </w:r>
      <w:r w:rsidR="007D4508">
        <w:t>Hrvatska se ubraja u zemlje s potrošnjom antibiotika većom od europskog prosjeka, a poznato je da na potrošnju antibiotika uvelike utječu socijalni i kulturološki čimbenici</w:t>
      </w:r>
      <w:r w:rsidR="00441BE1">
        <w:t>.</w:t>
      </w:r>
      <w:r w:rsidR="007D4508">
        <w:t xml:space="preserve"> </w:t>
      </w:r>
      <w:r w:rsidR="00441BE1">
        <w:t xml:space="preserve">Kontinuirana </w:t>
      </w:r>
      <w:r w:rsidR="007D4508">
        <w:t>edukacija i informiranost građana o svrsi i naravi antimikrobne terapije</w:t>
      </w:r>
      <w:r w:rsidR="00441BE1">
        <w:t xml:space="preserve"> jedno je od značajnih područja rada u narednom periodu.</w:t>
      </w:r>
    </w:p>
    <w:p w:rsidR="007D4508" w:rsidRDefault="007D4508" w:rsidP="007D4508">
      <w:pPr>
        <w:jc w:val="both"/>
      </w:pPr>
    </w:p>
    <w:p w:rsidR="007D4508" w:rsidRDefault="00441BE1" w:rsidP="007D4508">
      <w:pPr>
        <w:jc w:val="both"/>
      </w:pPr>
      <w:r>
        <w:t>Javna edukativna kampanja širenja svijesti o antibioticima provodi se od 2008. godine  potaknuta inicijativom Europskog centra za prevenciju i kontrolu bolesti i proglašavanjem 18. studenog Europskim danom svjesnosti o antibioticima (European Antibiotic Awareness Day, EAAD).</w:t>
      </w:r>
      <w:r w:rsidR="007D4508">
        <w:t xml:space="preserve"> I u narednom razdoblju nastavit će se organizacijom javnih kampanja  i obilježavanjem Europskog dana svjesnosti o antibioticima. </w:t>
      </w:r>
    </w:p>
    <w:p w:rsidR="007D4508" w:rsidRDefault="007D4508" w:rsidP="007D4508">
      <w:pPr>
        <w:jc w:val="both"/>
      </w:pPr>
    </w:p>
    <w:p w:rsidR="007D4508" w:rsidRPr="009943C7" w:rsidRDefault="00266A7F" w:rsidP="007D4508">
      <w:pPr>
        <w:jc w:val="both"/>
      </w:pPr>
      <w:r>
        <w:rPr>
          <w:snapToGrid w:val="0"/>
        </w:rPr>
        <w:t xml:space="preserve">Svi koji su uključeni </w:t>
      </w:r>
      <w:r w:rsidR="004D0FB9">
        <w:rPr>
          <w:snapToGrid w:val="0"/>
        </w:rPr>
        <w:t>u</w:t>
      </w:r>
      <w:r>
        <w:rPr>
          <w:snapToGrid w:val="0"/>
        </w:rPr>
        <w:t xml:space="preserve"> proces propisivanja, izdavanja antibiotika i korištenja istih trebaju biti svjesni problema otpornosti antibiotika na bakterije.</w:t>
      </w:r>
      <w:r w:rsidR="007D4508" w:rsidRPr="00736907">
        <w:rPr>
          <w:snapToGrid w:val="0"/>
        </w:rPr>
        <w:t xml:space="preserve"> Edukacija građana pro</w:t>
      </w:r>
      <w:r w:rsidR="007D4508">
        <w:rPr>
          <w:snapToGrid w:val="0"/>
        </w:rPr>
        <w:t>vodit će se kroz javne kampanje.</w:t>
      </w:r>
      <w:r w:rsidR="00B71496">
        <w:rPr>
          <w:snapToGrid w:val="0"/>
        </w:rPr>
        <w:t xml:space="preserve"> </w:t>
      </w:r>
      <w:r w:rsidR="007D4508" w:rsidRPr="00736907">
        <w:rPr>
          <w:snapToGrid w:val="0"/>
        </w:rPr>
        <w:t xml:space="preserve">Edukacija </w:t>
      </w:r>
      <w:r w:rsidR="008C2507" w:rsidRPr="00500FCB">
        <w:rPr>
          <w:snapToGrid w:val="0"/>
        </w:rPr>
        <w:t xml:space="preserve">doktora medicine i </w:t>
      </w:r>
      <w:r w:rsidR="00441BE1">
        <w:rPr>
          <w:snapToGrid w:val="0"/>
        </w:rPr>
        <w:t>ljekarnika</w:t>
      </w:r>
      <w:r w:rsidR="007D4508" w:rsidRPr="00500FCB">
        <w:rPr>
          <w:snapToGrid w:val="0"/>
        </w:rPr>
        <w:t xml:space="preserve"> provodit će se kroz prilagodbu </w:t>
      </w:r>
      <w:r w:rsidR="00CD14B7">
        <w:rPr>
          <w:snapToGrid w:val="0"/>
        </w:rPr>
        <w:t>nastavnih sadržaja</w:t>
      </w:r>
      <w:r w:rsidR="007D4508" w:rsidRPr="00736907">
        <w:rPr>
          <w:snapToGrid w:val="0"/>
        </w:rPr>
        <w:t xml:space="preserve"> </w:t>
      </w:r>
      <w:r w:rsidR="004D0FB9">
        <w:rPr>
          <w:snapToGrid w:val="0"/>
        </w:rPr>
        <w:t>na svim razinama studija</w:t>
      </w:r>
      <w:r w:rsidR="004D0FB9">
        <w:rPr>
          <w:b/>
        </w:rPr>
        <w:t xml:space="preserve"> </w:t>
      </w:r>
      <w:r w:rsidR="008175CA">
        <w:rPr>
          <w:snapToGrid w:val="0"/>
        </w:rPr>
        <w:t>u području biomedicine i zdravstva (potenciranje edukacije o praktičnoj primjeni antibiotika</w:t>
      </w:r>
      <w:r w:rsidR="00802F5A">
        <w:rPr>
          <w:snapToGrid w:val="0"/>
        </w:rPr>
        <w:t>) i</w:t>
      </w:r>
      <w:r w:rsidR="007D4508" w:rsidRPr="00736907">
        <w:rPr>
          <w:snapToGrid w:val="0"/>
        </w:rPr>
        <w:t xml:space="preserve"> </w:t>
      </w:r>
      <w:r w:rsidR="004D0FB9">
        <w:rPr>
          <w:snapToGrid w:val="0"/>
        </w:rPr>
        <w:t xml:space="preserve">kroz </w:t>
      </w:r>
      <w:r w:rsidR="007D4508" w:rsidRPr="00736907">
        <w:rPr>
          <w:snapToGrid w:val="0"/>
        </w:rPr>
        <w:t>stručno znanstvene sastanke.</w:t>
      </w:r>
    </w:p>
    <w:p w:rsidR="00867C72" w:rsidRDefault="007D4508" w:rsidP="00867C72">
      <w:pPr>
        <w:jc w:val="both"/>
      </w:pPr>
      <w:r w:rsidRPr="000041F6">
        <w:rPr>
          <w:snapToGrid w:val="0"/>
        </w:rPr>
        <w:t>Edukacija</w:t>
      </w:r>
      <w:r w:rsidR="00173617">
        <w:rPr>
          <w:snapToGrid w:val="0"/>
        </w:rPr>
        <w:t xml:space="preserve"> doktora veterinarske medicine </w:t>
      </w:r>
      <w:r w:rsidRPr="000041F6">
        <w:rPr>
          <w:snapToGrid w:val="0"/>
        </w:rPr>
        <w:t>provodit će putem stručnih tijela uključenih u provedbu programa praćenja otpornosti na antimikrobne pripravke. Nadalje, posebna pažnja usmjeriti će se na primarne proizvođače kroz javne ka</w:t>
      </w:r>
      <w:r>
        <w:rPr>
          <w:snapToGrid w:val="0"/>
        </w:rPr>
        <w:t xml:space="preserve">mpanje i </w:t>
      </w:r>
      <w:r w:rsidR="00424DD9">
        <w:rPr>
          <w:snapToGrid w:val="0"/>
        </w:rPr>
        <w:t>v</w:t>
      </w:r>
      <w:r>
        <w:rPr>
          <w:snapToGrid w:val="0"/>
        </w:rPr>
        <w:t>eterinarske preglede</w:t>
      </w:r>
      <w:r w:rsidR="00424DD9">
        <w:rPr>
          <w:snapToGrid w:val="0"/>
        </w:rPr>
        <w:t>.</w:t>
      </w:r>
      <w:r>
        <w:rPr>
          <w:snapToGrid w:val="0"/>
        </w:rPr>
        <w:t xml:space="preserve"> </w:t>
      </w:r>
    </w:p>
    <w:p w:rsidR="00867C72" w:rsidRPr="008C100C" w:rsidRDefault="00867C72" w:rsidP="008C100C"/>
    <w:p w:rsidR="007D4508" w:rsidRPr="00A56977" w:rsidRDefault="00C07DE3" w:rsidP="008C100C">
      <w:pPr>
        <w:pStyle w:val="Naslov2"/>
      </w:pPr>
      <w:bookmarkStart w:id="37" w:name="_Toc430654027"/>
      <w:bookmarkStart w:id="38" w:name="_Toc498334048"/>
      <w:r>
        <w:t xml:space="preserve">5.6. </w:t>
      </w:r>
      <w:r w:rsidR="007D4508" w:rsidRPr="00A56977">
        <w:t>Podupiranje znanstven</w:t>
      </w:r>
      <w:r w:rsidR="007D4508">
        <w:t>ih</w:t>
      </w:r>
      <w:r w:rsidR="007D4508" w:rsidRPr="00A56977">
        <w:t xml:space="preserve"> istraživanja na području rezist</w:t>
      </w:r>
      <w:r w:rsidR="007D4508">
        <w:t>encije bakterija na antibiotike</w:t>
      </w:r>
      <w:bookmarkEnd w:id="37"/>
      <w:bookmarkEnd w:id="38"/>
      <w:r w:rsidR="00E05FC9">
        <w:t xml:space="preserve"> </w:t>
      </w:r>
    </w:p>
    <w:p w:rsidR="007D4508" w:rsidRPr="00A56977" w:rsidRDefault="007D4508" w:rsidP="007D4508">
      <w:pPr>
        <w:autoSpaceDE w:val="0"/>
        <w:autoSpaceDN w:val="0"/>
        <w:adjustRightInd w:val="0"/>
        <w:jc w:val="both"/>
        <w:rPr>
          <w:b/>
          <w:sz w:val="28"/>
          <w:szCs w:val="28"/>
          <w:lang w:eastAsia="en-US"/>
        </w:rPr>
      </w:pPr>
    </w:p>
    <w:p w:rsidR="007D4508" w:rsidRDefault="0083008B" w:rsidP="007D4508">
      <w:pPr>
        <w:jc w:val="both"/>
      </w:pPr>
      <w:r>
        <w:t>Ministarstvo zdravstva</w:t>
      </w:r>
      <w:r w:rsidR="007D4508">
        <w:t>, Ministarstvo poljoprivrede, a posebno Ministarstvo</w:t>
      </w:r>
      <w:r w:rsidR="007D4508" w:rsidRPr="00D8766F">
        <w:t xml:space="preserve"> z</w:t>
      </w:r>
      <w:r>
        <w:t>nanosti</w:t>
      </w:r>
      <w:r w:rsidR="007D4508">
        <w:t xml:space="preserve"> </w:t>
      </w:r>
      <w:r>
        <w:t xml:space="preserve">i </w:t>
      </w:r>
      <w:r w:rsidR="007D4508">
        <w:t xml:space="preserve">obrazovanja Republike Hrvatske podupirat će </w:t>
      </w:r>
      <w:r w:rsidR="007D4508" w:rsidRPr="00D8766F">
        <w:t>projekt</w:t>
      </w:r>
      <w:r w:rsidR="007D4508">
        <w:t>e</w:t>
      </w:r>
      <w:r w:rsidR="007D4508" w:rsidRPr="00D8766F">
        <w:t xml:space="preserve"> koji:</w:t>
      </w:r>
    </w:p>
    <w:p w:rsidR="007D4508" w:rsidRPr="00D8766F" w:rsidRDefault="007D4508" w:rsidP="007D4508">
      <w:pPr>
        <w:numPr>
          <w:ilvl w:val="0"/>
          <w:numId w:val="6"/>
        </w:numPr>
        <w:jc w:val="both"/>
      </w:pPr>
      <w:r w:rsidRPr="00D8766F">
        <w:t>potpomažu razumijevanj</w:t>
      </w:r>
      <w:r w:rsidR="00CD14B7">
        <w:t>u</w:t>
      </w:r>
      <w:r w:rsidRPr="00D8766F">
        <w:t xml:space="preserve"> mehanizama, nastanka i kontrole otpo</w:t>
      </w:r>
      <w:r>
        <w:t>rnosti bakterija na antibiotike</w:t>
      </w:r>
    </w:p>
    <w:p w:rsidR="007D4508" w:rsidRDefault="007D4508" w:rsidP="007D4508">
      <w:pPr>
        <w:numPr>
          <w:ilvl w:val="0"/>
          <w:numId w:val="6"/>
        </w:numPr>
        <w:jc w:val="both"/>
      </w:pPr>
      <w:r w:rsidRPr="00D8766F">
        <w:t>potpomažu u</w:t>
      </w:r>
      <w:r>
        <w:t>činkovitiju primjenu postojećih antibiotika</w:t>
      </w:r>
    </w:p>
    <w:p w:rsidR="007D4508" w:rsidRDefault="007D4508" w:rsidP="007D4508">
      <w:pPr>
        <w:numPr>
          <w:ilvl w:val="0"/>
          <w:numId w:val="6"/>
        </w:numPr>
        <w:jc w:val="both"/>
      </w:pPr>
      <w:r>
        <w:t>istražuju nove antimikrobne supstance</w:t>
      </w:r>
    </w:p>
    <w:p w:rsidR="007D4508" w:rsidRDefault="007D4508" w:rsidP="007D4508">
      <w:pPr>
        <w:numPr>
          <w:ilvl w:val="0"/>
          <w:numId w:val="6"/>
        </w:numPr>
        <w:jc w:val="both"/>
      </w:pPr>
      <w:r>
        <w:t>istražuju dijagnostičke mogućnosti mikrobioloških testova koji brzo dovode do etiološke dijagnoze i usmjeravanja terapije</w:t>
      </w:r>
    </w:p>
    <w:p w:rsidR="007D4508" w:rsidRDefault="007D4508" w:rsidP="007D4508">
      <w:pPr>
        <w:numPr>
          <w:ilvl w:val="0"/>
          <w:numId w:val="6"/>
        </w:numPr>
        <w:jc w:val="both"/>
      </w:pPr>
      <w:r>
        <w:t>istražuju učinak cijepljenja te drugih pripravaka koji jačaju imuni odgovor i utječu na prevenciju nastanka infekcije</w:t>
      </w:r>
    </w:p>
    <w:p w:rsidR="00080D4A" w:rsidRDefault="007D4508" w:rsidP="004F2BA9">
      <w:pPr>
        <w:numPr>
          <w:ilvl w:val="0"/>
          <w:numId w:val="6"/>
        </w:numPr>
        <w:jc w:val="both"/>
      </w:pPr>
      <w:r>
        <w:t>potpomažu projekte i programe čiji je cilj rukovođenje antimikrobnom terapijom i poticanje odgovornog korištenja antimikrobnih lijekova.</w:t>
      </w:r>
    </w:p>
    <w:p w:rsidR="00080D4A" w:rsidRDefault="00080D4A" w:rsidP="00080D4A">
      <w:pPr>
        <w:ind w:left="720"/>
        <w:jc w:val="both"/>
      </w:pPr>
    </w:p>
    <w:p w:rsidR="00080D4A" w:rsidRDefault="00080D4A" w:rsidP="00080D4A">
      <w:pPr>
        <w:ind w:left="720"/>
        <w:jc w:val="both"/>
      </w:pPr>
    </w:p>
    <w:p w:rsidR="00FE0C9C" w:rsidRDefault="00FE0C9C" w:rsidP="00080D4A">
      <w:pPr>
        <w:ind w:left="720"/>
        <w:jc w:val="both"/>
      </w:pPr>
    </w:p>
    <w:tbl>
      <w:tblPr>
        <w:tblStyle w:val="Reetkatablice"/>
        <w:tblpPr w:leftFromText="181" w:rightFromText="181" w:topFromText="3969" w:horzAnchor="margin" w:tblpXSpec="center" w:tblpYSpec="center"/>
        <w:tblW w:w="101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48"/>
        <w:gridCol w:w="17"/>
        <w:gridCol w:w="4541"/>
        <w:gridCol w:w="2421"/>
        <w:gridCol w:w="1912"/>
      </w:tblGrid>
      <w:tr w:rsidR="00080D4A" w:rsidRPr="00080D4A" w:rsidTr="00080D4A">
        <w:trPr>
          <w:trHeight w:val="240"/>
        </w:trPr>
        <w:tc>
          <w:tcPr>
            <w:tcW w:w="10139" w:type="dxa"/>
            <w:gridSpan w:val="5"/>
            <w:tcBorders>
              <w:top w:val="nil"/>
              <w:left w:val="nil"/>
              <w:bottom w:val="nil"/>
              <w:right w:val="nil"/>
            </w:tcBorders>
            <w:shd w:val="clear" w:color="auto" w:fill="auto"/>
          </w:tcPr>
          <w:p w:rsidR="00080D4A" w:rsidRPr="00080D4A" w:rsidRDefault="00080D4A" w:rsidP="00080D4A">
            <w:pPr>
              <w:pStyle w:val="Naslov1"/>
              <w:outlineLvl w:val="0"/>
            </w:pPr>
            <w:bookmarkStart w:id="39" w:name="_Toc498334049"/>
            <w:r w:rsidRPr="00080D4A">
              <w:rPr>
                <w:rFonts w:eastAsia="Calibri"/>
              </w:rPr>
              <w:t>6       RAZRADA PLANIRANIH AKTIVNOSTI</w:t>
            </w:r>
            <w:bookmarkEnd w:id="39"/>
            <w:r w:rsidRPr="00080D4A">
              <w:rPr>
                <w:rFonts w:eastAsia="Calibri"/>
              </w:rPr>
              <w:t xml:space="preserve">  </w:t>
            </w:r>
          </w:p>
          <w:p w:rsidR="00080D4A" w:rsidRPr="00080D4A" w:rsidRDefault="00080D4A" w:rsidP="00080D4A">
            <w:pPr>
              <w:jc w:val="both"/>
              <w:rPr>
                <w:b/>
                <w:snapToGrid w:val="0"/>
                <w:color w:val="1F497D" w:themeColor="text2"/>
              </w:rPr>
            </w:pPr>
          </w:p>
        </w:tc>
      </w:tr>
      <w:tr w:rsidR="00843197" w:rsidRPr="004656A3"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jc w:val="both"/>
              <w:rPr>
                <w:b/>
                <w:snapToGrid w:val="0"/>
              </w:rPr>
            </w:pPr>
          </w:p>
          <w:p w:rsidR="00843197" w:rsidRDefault="00843197" w:rsidP="00080D4A">
            <w:pPr>
              <w:jc w:val="both"/>
              <w:rPr>
                <w:b/>
                <w:snapToGrid w:val="0"/>
              </w:rPr>
            </w:pPr>
            <w:r>
              <w:rPr>
                <w:b/>
                <w:snapToGrid w:val="0"/>
              </w:rPr>
              <w:t xml:space="preserve">Mjera 1. : KONTROLA ŠIRENJA OTPORNOSTI BAKTERIJA NA ANTIBIOTIKE U </w:t>
            </w:r>
          </w:p>
          <w:p w:rsidR="00843197" w:rsidRPr="004656A3" w:rsidRDefault="00843197" w:rsidP="00080D4A">
            <w:pPr>
              <w:jc w:val="both"/>
              <w:rPr>
                <w:b/>
                <w:snapToGrid w:val="0"/>
              </w:rPr>
            </w:pPr>
            <w:r>
              <w:rPr>
                <w:b/>
                <w:snapToGrid w:val="0"/>
              </w:rPr>
              <w:t xml:space="preserve">                  HUMANOJ MEDICINI</w:t>
            </w:r>
          </w:p>
          <w:p w:rsidR="00843197" w:rsidRDefault="00843197" w:rsidP="00080D4A">
            <w:pPr>
              <w:jc w:val="both"/>
              <w:rPr>
                <w:b/>
              </w:rPr>
            </w:pPr>
            <w:r>
              <w:rPr>
                <w:b/>
              </w:rPr>
              <w:t>Nositelj:   MINISTARSTVO ZDRAVSTVA</w:t>
            </w:r>
          </w:p>
          <w:p w:rsidR="00843197" w:rsidRPr="004656A3" w:rsidRDefault="00843197" w:rsidP="00080D4A">
            <w:pPr>
              <w:jc w:val="both"/>
              <w:rPr>
                <w:b/>
              </w:rPr>
            </w:pP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843197" w:rsidRDefault="00843197" w:rsidP="00080D4A">
            <w:pPr>
              <w:jc w:val="both"/>
              <w:rPr>
                <w:rFonts w:eastAsia="Calibri"/>
                <w:b/>
                <w:bCs/>
                <w:iCs/>
                <w:lang w:eastAsia="hr-HR"/>
              </w:rPr>
            </w:pPr>
          </w:p>
          <w:p w:rsidR="00843197" w:rsidRPr="002C5D1B" w:rsidRDefault="00843197" w:rsidP="00080D4A">
            <w:pPr>
              <w:jc w:val="both"/>
              <w:rPr>
                <w:snapToGrid w:val="0"/>
                <w:sz w:val="20"/>
                <w:szCs w:val="20"/>
              </w:rPr>
            </w:pPr>
            <w:r>
              <w:rPr>
                <w:rFonts w:eastAsia="Calibri"/>
                <w:b/>
                <w:bCs/>
                <w:iCs/>
                <w:lang w:eastAsia="hr-HR"/>
              </w:rPr>
              <w:t>Cilj 1</w:t>
            </w:r>
            <w:r w:rsidRPr="002C5D1B">
              <w:rPr>
                <w:rFonts w:eastAsia="Calibri"/>
                <w:b/>
                <w:bCs/>
                <w:iCs/>
                <w:lang w:eastAsia="hr-HR"/>
              </w:rPr>
              <w:t>.</w:t>
            </w:r>
            <w:r w:rsidRPr="002C5D1B">
              <w:rPr>
                <w:rFonts w:eastAsia="Calibri"/>
                <w:b/>
                <w:bCs/>
                <w:i/>
                <w:iCs/>
                <w:lang w:eastAsia="hr-HR"/>
              </w:rPr>
              <w:t xml:space="preserve"> </w:t>
            </w:r>
            <w:r w:rsidRPr="002C5D1B">
              <w:t xml:space="preserve"> </w:t>
            </w:r>
            <w:r w:rsidR="002C5D1B" w:rsidRPr="002C5D1B">
              <w:rPr>
                <w:b/>
                <w:snapToGrid w:val="0"/>
              </w:rPr>
              <w:t xml:space="preserve">Praćenje  potrošnje antimikrobnih lijekova i otpornosti bakterija na antibiotike </w:t>
            </w:r>
            <w:r w:rsidRPr="002C5D1B">
              <w:rPr>
                <w:snapToGrid w:val="0"/>
                <w:sz w:val="20"/>
                <w:szCs w:val="20"/>
              </w:rPr>
              <w:t>(u skladu s Globalnim akcijskim planom SZO, cilj 2)</w:t>
            </w:r>
          </w:p>
          <w:p w:rsidR="00843197" w:rsidRDefault="00843197" w:rsidP="00080D4A">
            <w:pPr>
              <w:jc w:val="both"/>
              <w:rPr>
                <w:rFonts w:eastAsia="Calibri"/>
                <w:b/>
                <w:bCs/>
                <w:iCs/>
                <w:lang w:eastAsia="hr-HR"/>
              </w:rPr>
            </w:pP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843197" w:rsidRDefault="00843197" w:rsidP="00080D4A">
            <w:pPr>
              <w:rPr>
                <w:sz w:val="22"/>
                <w:szCs w:val="22"/>
              </w:rPr>
            </w:pPr>
            <w:r w:rsidRPr="00677364">
              <w:rPr>
                <w:b/>
                <w:sz w:val="22"/>
                <w:szCs w:val="22"/>
              </w:rPr>
              <w:t>Nositelj:</w:t>
            </w:r>
            <w:r w:rsidRPr="00677364">
              <w:rPr>
                <w:rFonts w:eastAsia="Calibri"/>
                <w:sz w:val="22"/>
                <w:szCs w:val="22"/>
              </w:rPr>
              <w:t xml:space="preserve"> Referentni centar Ministarstva </w:t>
            </w:r>
            <w:r>
              <w:rPr>
                <w:rFonts w:eastAsia="Calibri"/>
                <w:sz w:val="22"/>
                <w:szCs w:val="22"/>
              </w:rPr>
              <w:t>zdravstva</w:t>
            </w:r>
            <w:r w:rsidRPr="00677364">
              <w:rPr>
                <w:rFonts w:eastAsia="Calibri"/>
                <w:sz w:val="22"/>
                <w:szCs w:val="22"/>
              </w:rPr>
              <w:t xml:space="preserve"> za praćenje rezistencije bakterija na antibiotike (Klinika za infektivne bolesti „Dr</w:t>
            </w:r>
            <w:r>
              <w:rPr>
                <w:rFonts w:eastAsia="Calibri"/>
                <w:sz w:val="22"/>
                <w:szCs w:val="22"/>
              </w:rPr>
              <w:t>.</w:t>
            </w:r>
            <w:r w:rsidRPr="00677364">
              <w:rPr>
                <w:rFonts w:eastAsia="Calibri"/>
                <w:sz w:val="22"/>
                <w:szCs w:val="22"/>
              </w:rPr>
              <w:t xml:space="preserve"> Fran Mihaljević“)</w:t>
            </w:r>
            <w:r>
              <w:rPr>
                <w:rFonts w:eastAsia="Calibri"/>
                <w:sz w:val="22"/>
                <w:szCs w:val="22"/>
              </w:rPr>
              <w:t xml:space="preserve">, </w:t>
            </w:r>
            <w:r w:rsidRPr="00677364">
              <w:rPr>
                <w:sz w:val="22"/>
                <w:szCs w:val="22"/>
              </w:rPr>
              <w:t xml:space="preserve"> Odbor za praćenje rezistencije Akademije medicinskih znanosti Hrvatske</w:t>
            </w:r>
          </w:p>
          <w:p w:rsidR="00843197" w:rsidRPr="00677364" w:rsidRDefault="00843197" w:rsidP="00080D4A">
            <w:pPr>
              <w:rPr>
                <w:rFonts w:eastAsia="Calibri"/>
                <w:sz w:val="22"/>
                <w:szCs w:val="22"/>
              </w:rPr>
            </w:pPr>
          </w:p>
          <w:p w:rsidR="00843197" w:rsidRDefault="00843197" w:rsidP="00080D4A">
            <w:pPr>
              <w:rPr>
                <w:rFonts w:eastAsia="Calibri"/>
                <w:b/>
                <w:sz w:val="20"/>
                <w:szCs w:val="20"/>
                <w:lang w:eastAsia="en-US"/>
              </w:rPr>
            </w:pPr>
            <w:r w:rsidRPr="00677364">
              <w:rPr>
                <w:rFonts w:eastAsia="Calibri"/>
                <w:b/>
                <w:sz w:val="22"/>
                <w:szCs w:val="22"/>
              </w:rPr>
              <w:t>Suradnici u provedbi</w:t>
            </w:r>
            <w:r>
              <w:rPr>
                <w:snapToGrid w:val="0"/>
                <w:sz w:val="22"/>
                <w:szCs w:val="22"/>
              </w:rPr>
              <w:t xml:space="preserve">: </w:t>
            </w:r>
            <w:r w:rsidRPr="00677364">
              <w:rPr>
                <w:snapToGrid w:val="0"/>
                <w:sz w:val="22"/>
                <w:szCs w:val="22"/>
              </w:rPr>
              <w:t>Hrvatsko društvo za kliničku mikrobiologiju Hrvatskog liječničkog zbo</w:t>
            </w:r>
            <w:r>
              <w:rPr>
                <w:snapToGrid w:val="0"/>
                <w:sz w:val="22"/>
                <w:szCs w:val="22"/>
              </w:rPr>
              <w:t xml:space="preserve">ra, </w:t>
            </w:r>
            <w:r w:rsidRPr="00677364">
              <w:rPr>
                <w:snapToGrid w:val="0"/>
                <w:sz w:val="22"/>
                <w:szCs w:val="22"/>
              </w:rPr>
              <w:t xml:space="preserve">mikrobiološki laboratoriji bolničkih ustanova  i zavoda za javno zdravstvo, bolničke ljekarne, Hrvatski zavod za zdravstveno osiguranje, </w:t>
            </w:r>
            <w:r>
              <w:rPr>
                <w:snapToGrid w:val="0"/>
                <w:sz w:val="22"/>
                <w:szCs w:val="22"/>
              </w:rPr>
              <w:t xml:space="preserve">Hrvatski zavod za javno zdravstvo, </w:t>
            </w:r>
            <w:r w:rsidRPr="00677364">
              <w:rPr>
                <w:snapToGrid w:val="0"/>
                <w:sz w:val="22"/>
                <w:szCs w:val="22"/>
              </w:rPr>
              <w:t>Agencija za lijekove i medicinske proizvode</w:t>
            </w:r>
          </w:p>
        </w:tc>
      </w:tr>
      <w:tr w:rsidR="00843197" w:rsidTr="00080D4A">
        <w:trPr>
          <w:trHeight w:val="240"/>
        </w:trPr>
        <w:tc>
          <w:tcPr>
            <w:tcW w:w="1248" w:type="dxa"/>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lang w:eastAsia="en-US"/>
              </w:rPr>
            </w:pPr>
            <w:r>
              <w:rPr>
                <w:b/>
                <w:sz w:val="20"/>
                <w:szCs w:val="20"/>
              </w:rPr>
              <w:t>Rok provedbe</w:t>
            </w:r>
          </w:p>
        </w:tc>
        <w:tc>
          <w:tcPr>
            <w:tcW w:w="4558"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lang w:eastAsia="en-US"/>
              </w:rPr>
            </w:pPr>
            <w:r>
              <w:rPr>
                <w:b/>
                <w:sz w:val="20"/>
                <w:szCs w:val="20"/>
              </w:rPr>
              <w:t xml:space="preserve"> Aktivnosti </w:t>
            </w:r>
          </w:p>
        </w:tc>
        <w:tc>
          <w:tcPr>
            <w:tcW w:w="2421" w:type="dxa"/>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lang w:eastAsia="en-US"/>
              </w:rPr>
            </w:pPr>
            <w:r>
              <w:rPr>
                <w:b/>
                <w:sz w:val="20"/>
                <w:szCs w:val="20"/>
              </w:rPr>
              <w:t>Plan implementacije zadatka</w:t>
            </w:r>
          </w:p>
        </w:tc>
        <w:tc>
          <w:tcPr>
            <w:tcW w:w="1912" w:type="dxa"/>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rPr>
            </w:pPr>
            <w:r>
              <w:rPr>
                <w:b/>
                <w:sz w:val="20"/>
                <w:szCs w:val="20"/>
              </w:rPr>
              <w:t>Aktivnost/pozicija/račun</w:t>
            </w:r>
          </w:p>
          <w:p w:rsidR="00843197" w:rsidRDefault="00843197" w:rsidP="00080D4A">
            <w:pPr>
              <w:rPr>
                <w:b/>
                <w:sz w:val="20"/>
                <w:szCs w:val="20"/>
                <w:lang w:eastAsia="en-US"/>
              </w:rPr>
            </w:pPr>
            <w:r>
              <w:rPr>
                <w:b/>
                <w:sz w:val="20"/>
                <w:szCs w:val="20"/>
              </w:rPr>
              <w:t>Iznos financijskih sredstava</w:t>
            </w:r>
          </w:p>
        </w:tc>
      </w:tr>
      <w:tr w:rsidR="00843197" w:rsidTr="00080D4A">
        <w:trPr>
          <w:trHeight w:val="240"/>
        </w:trPr>
        <w:tc>
          <w:tcPr>
            <w:tcW w:w="1248" w:type="dxa"/>
            <w:tcBorders>
              <w:top w:val="double" w:sz="4" w:space="0" w:color="auto"/>
              <w:left w:val="double" w:sz="4" w:space="0" w:color="auto"/>
              <w:bottom w:val="double" w:sz="4" w:space="0" w:color="auto"/>
              <w:right w:val="double" w:sz="4" w:space="0" w:color="auto"/>
            </w:tcBorders>
            <w:hideMark/>
          </w:tcPr>
          <w:p w:rsidR="00843197" w:rsidRDefault="00843197" w:rsidP="00080D4A">
            <w:pPr>
              <w:rPr>
                <w:sz w:val="20"/>
                <w:szCs w:val="20"/>
              </w:rPr>
            </w:pPr>
            <w:r>
              <w:rPr>
                <w:sz w:val="20"/>
                <w:szCs w:val="20"/>
              </w:rPr>
              <w:t xml:space="preserve">2017.-2021.   </w:t>
            </w:r>
          </w:p>
        </w:tc>
        <w:tc>
          <w:tcPr>
            <w:tcW w:w="4558" w:type="dxa"/>
            <w:gridSpan w:val="2"/>
            <w:tcBorders>
              <w:top w:val="double" w:sz="4" w:space="0" w:color="auto"/>
              <w:left w:val="double" w:sz="4" w:space="0" w:color="auto"/>
              <w:bottom w:val="double" w:sz="4" w:space="0" w:color="auto"/>
              <w:right w:val="double" w:sz="4" w:space="0" w:color="auto"/>
            </w:tcBorders>
            <w:hideMark/>
          </w:tcPr>
          <w:p w:rsidR="00843197" w:rsidRPr="00D03C37" w:rsidRDefault="00843197" w:rsidP="00080D4A">
            <w:pPr>
              <w:widowControl w:val="0"/>
              <w:numPr>
                <w:ilvl w:val="0"/>
                <w:numId w:val="17"/>
              </w:numPr>
              <w:ind w:left="189" w:firstLine="0"/>
              <w:rPr>
                <w:sz w:val="22"/>
                <w:szCs w:val="22"/>
              </w:rPr>
            </w:pPr>
            <w:r w:rsidRPr="00D03C37">
              <w:rPr>
                <w:snapToGrid w:val="0"/>
                <w:sz w:val="22"/>
                <w:szCs w:val="22"/>
              </w:rPr>
              <w:t xml:space="preserve">Održavanje mreže mikrobioloških laboratorija  </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Prikupljanje i analiza podataka o otpornosti na antibiotike</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 xml:space="preserve">Provođenje vanjske kontrole kvalitete  </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Retestiranje izolata rijetkog fenotipa</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Praćenje izolata od posebnog značaja</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Sudjelovanje u izradi nacionalnih smjernica o uporabi antibiotika</w:t>
            </w:r>
          </w:p>
          <w:p w:rsidR="00843197" w:rsidRPr="00D03C37" w:rsidRDefault="00843197" w:rsidP="00080D4A">
            <w:pPr>
              <w:widowControl w:val="0"/>
              <w:numPr>
                <w:ilvl w:val="0"/>
                <w:numId w:val="17"/>
              </w:numPr>
              <w:ind w:left="189" w:firstLine="0"/>
              <w:rPr>
                <w:sz w:val="22"/>
                <w:szCs w:val="22"/>
              </w:rPr>
            </w:pPr>
            <w:r w:rsidRPr="00D03C37">
              <w:rPr>
                <w:sz w:val="22"/>
                <w:szCs w:val="22"/>
              </w:rPr>
              <w:t>Suradnja s Referen</w:t>
            </w:r>
            <w:r>
              <w:rPr>
                <w:sz w:val="22"/>
                <w:szCs w:val="22"/>
              </w:rPr>
              <w:t xml:space="preserve">tnim centrom Ministarstva zdravstva </w:t>
            </w:r>
            <w:r w:rsidRPr="00D03C37">
              <w:rPr>
                <w:sz w:val="22"/>
                <w:szCs w:val="22"/>
              </w:rPr>
              <w:t>za kontrolu bolničkih infekcija</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Prikupljanje i analiza podataka o potrošnji antibiotika</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Izrada godišnjeg izvješća</w:t>
            </w:r>
          </w:p>
          <w:p w:rsidR="00843197" w:rsidRPr="00D03C37" w:rsidRDefault="00843197" w:rsidP="00080D4A">
            <w:pPr>
              <w:widowControl w:val="0"/>
              <w:numPr>
                <w:ilvl w:val="0"/>
                <w:numId w:val="17"/>
              </w:numPr>
              <w:ind w:left="189" w:firstLine="0"/>
              <w:rPr>
                <w:sz w:val="22"/>
                <w:szCs w:val="22"/>
              </w:rPr>
            </w:pPr>
            <w:r w:rsidRPr="00D03C37">
              <w:rPr>
                <w:snapToGrid w:val="0"/>
                <w:sz w:val="22"/>
                <w:szCs w:val="22"/>
              </w:rPr>
              <w:t xml:space="preserve">Sudjelovanje u EARS-Net programu </w:t>
            </w:r>
            <w:r>
              <w:rPr>
                <w:snapToGrid w:val="0"/>
                <w:sz w:val="22"/>
                <w:szCs w:val="22"/>
              </w:rPr>
              <w:t>(ECDC)</w:t>
            </w:r>
          </w:p>
          <w:p w:rsidR="00843197" w:rsidRDefault="00843197" w:rsidP="00080D4A">
            <w:pPr>
              <w:widowControl w:val="0"/>
              <w:numPr>
                <w:ilvl w:val="0"/>
                <w:numId w:val="17"/>
              </w:numPr>
              <w:ind w:left="189" w:firstLine="0"/>
              <w:rPr>
                <w:sz w:val="22"/>
                <w:szCs w:val="22"/>
                <w:lang w:eastAsia="en-US"/>
              </w:rPr>
            </w:pPr>
            <w:r w:rsidRPr="00D03C37">
              <w:rPr>
                <w:snapToGrid w:val="0"/>
                <w:sz w:val="22"/>
                <w:szCs w:val="22"/>
              </w:rPr>
              <w:t xml:space="preserve">Sudjelovanje u ESAC-Net programu </w:t>
            </w:r>
            <w:r>
              <w:rPr>
                <w:snapToGrid w:val="0"/>
                <w:sz w:val="22"/>
                <w:szCs w:val="22"/>
              </w:rPr>
              <w:t>(</w:t>
            </w:r>
            <w:r w:rsidRPr="00D03C37">
              <w:rPr>
                <w:snapToGrid w:val="0"/>
                <w:sz w:val="22"/>
                <w:szCs w:val="22"/>
              </w:rPr>
              <w:t>ECDC</w:t>
            </w:r>
            <w:r>
              <w:rPr>
                <w:snapToGrid w:val="0"/>
                <w:sz w:val="22"/>
                <w:szCs w:val="22"/>
              </w:rPr>
              <w:t>)</w:t>
            </w:r>
          </w:p>
        </w:tc>
        <w:tc>
          <w:tcPr>
            <w:tcW w:w="2421" w:type="dxa"/>
            <w:tcBorders>
              <w:top w:val="double" w:sz="4" w:space="0" w:color="auto"/>
              <w:left w:val="double" w:sz="4" w:space="0" w:color="auto"/>
              <w:bottom w:val="double" w:sz="4" w:space="0" w:color="auto"/>
              <w:right w:val="double" w:sz="4" w:space="0" w:color="auto"/>
            </w:tcBorders>
          </w:tcPr>
          <w:p w:rsidR="00843197" w:rsidRPr="00D03C37" w:rsidRDefault="00843197" w:rsidP="00080D4A">
            <w:pPr>
              <w:rPr>
                <w:strike/>
                <w:sz w:val="22"/>
                <w:szCs w:val="22"/>
              </w:rPr>
            </w:pPr>
            <w:r w:rsidRPr="00D03C37">
              <w:rPr>
                <w:sz w:val="22"/>
                <w:szCs w:val="22"/>
              </w:rPr>
              <w:t xml:space="preserve">dva sastanka godišnje </w:t>
            </w:r>
            <w:r w:rsidRPr="00D03C37">
              <w:rPr>
                <w:strike/>
                <w:sz w:val="22"/>
                <w:szCs w:val="22"/>
              </w:rPr>
              <w:t xml:space="preserve"> </w:t>
            </w:r>
          </w:p>
          <w:p w:rsidR="00843197" w:rsidRPr="00D03C37" w:rsidRDefault="00843197" w:rsidP="00080D4A">
            <w:pPr>
              <w:widowControl w:val="0"/>
              <w:rPr>
                <w:sz w:val="22"/>
                <w:szCs w:val="22"/>
              </w:rPr>
            </w:pPr>
          </w:p>
          <w:p w:rsidR="00843197" w:rsidRPr="00D03C37" w:rsidRDefault="00843197" w:rsidP="00080D4A">
            <w:pPr>
              <w:widowControl w:val="0"/>
              <w:rPr>
                <w:sz w:val="22"/>
                <w:szCs w:val="22"/>
              </w:rPr>
            </w:pPr>
          </w:p>
          <w:p w:rsidR="00843197" w:rsidRPr="00D03C37" w:rsidRDefault="00843197" w:rsidP="00080D4A">
            <w:pPr>
              <w:widowControl w:val="0"/>
              <w:rPr>
                <w:snapToGrid w:val="0"/>
                <w:sz w:val="22"/>
                <w:szCs w:val="22"/>
              </w:rPr>
            </w:pPr>
          </w:p>
          <w:p w:rsidR="00843197" w:rsidRDefault="00843197" w:rsidP="00080D4A">
            <w:pPr>
              <w:widowControl w:val="0"/>
              <w:rPr>
                <w:sz w:val="20"/>
                <w:szCs w:val="20"/>
                <w:lang w:eastAsia="en-US"/>
              </w:rPr>
            </w:pPr>
          </w:p>
        </w:tc>
        <w:tc>
          <w:tcPr>
            <w:tcW w:w="1912" w:type="dxa"/>
            <w:tcBorders>
              <w:top w:val="double" w:sz="4" w:space="0" w:color="auto"/>
              <w:left w:val="double" w:sz="4" w:space="0" w:color="auto"/>
              <w:bottom w:val="double" w:sz="4" w:space="0" w:color="auto"/>
              <w:right w:val="double" w:sz="4" w:space="0" w:color="auto"/>
            </w:tcBorders>
            <w:shd w:val="clear" w:color="auto" w:fill="auto"/>
            <w:hideMark/>
          </w:tcPr>
          <w:p w:rsidR="00843197" w:rsidRPr="00FB55A6" w:rsidRDefault="00843197" w:rsidP="00080D4A">
            <w:pPr>
              <w:ind w:left="34" w:hanging="34"/>
              <w:rPr>
                <w:rFonts w:eastAsia="Calibri"/>
                <w:sz w:val="22"/>
                <w:szCs w:val="22"/>
              </w:rPr>
            </w:pPr>
            <w:r w:rsidRPr="00FB55A6">
              <w:rPr>
                <w:rFonts w:eastAsia="Calibri"/>
                <w:sz w:val="22"/>
                <w:szCs w:val="22"/>
              </w:rPr>
              <w:t xml:space="preserve"> </w:t>
            </w:r>
          </w:p>
          <w:p w:rsidR="00843197" w:rsidRPr="00FB55A6" w:rsidRDefault="00843197" w:rsidP="00080D4A">
            <w:pPr>
              <w:ind w:right="-160"/>
              <w:rPr>
                <w:sz w:val="22"/>
                <w:szCs w:val="22"/>
                <w:lang w:eastAsia="en-US"/>
              </w:rPr>
            </w:pPr>
            <w:r w:rsidRPr="00FB55A6">
              <w:rPr>
                <w:sz w:val="22"/>
                <w:szCs w:val="22"/>
                <w:lang w:eastAsia="en-US"/>
              </w:rPr>
              <w:t xml:space="preserve">Ministarstvo zdravstva A 893003, </w:t>
            </w:r>
          </w:p>
          <w:p w:rsidR="00843197" w:rsidRPr="00FB55A6" w:rsidRDefault="00843197" w:rsidP="00080D4A">
            <w:pPr>
              <w:rPr>
                <w:sz w:val="22"/>
                <w:szCs w:val="22"/>
                <w:lang w:eastAsia="en-US"/>
              </w:rPr>
            </w:pPr>
            <w:r w:rsidRPr="00FB55A6">
              <w:rPr>
                <w:sz w:val="22"/>
                <w:szCs w:val="22"/>
                <w:lang w:eastAsia="en-US"/>
              </w:rPr>
              <w:t>konto 372,</w:t>
            </w:r>
          </w:p>
          <w:p w:rsidR="00843197" w:rsidRPr="00FB55A6" w:rsidRDefault="00843197" w:rsidP="00080D4A">
            <w:pPr>
              <w:rPr>
                <w:sz w:val="22"/>
                <w:szCs w:val="22"/>
                <w:lang w:eastAsia="en-US"/>
              </w:rPr>
            </w:pPr>
            <w:r w:rsidRPr="00FB55A6">
              <w:rPr>
                <w:sz w:val="22"/>
                <w:szCs w:val="22"/>
                <w:lang w:eastAsia="en-US"/>
              </w:rPr>
              <w:t>(300.000,00  kuna  na godišnjoj razini) i</w:t>
            </w:r>
          </w:p>
          <w:p w:rsidR="00843197" w:rsidRPr="00FB55A6" w:rsidRDefault="00843197" w:rsidP="00080D4A">
            <w:pPr>
              <w:rPr>
                <w:sz w:val="22"/>
                <w:szCs w:val="22"/>
                <w:lang w:eastAsia="en-US"/>
              </w:rPr>
            </w:pPr>
            <w:r w:rsidRPr="00FB55A6">
              <w:rPr>
                <w:sz w:val="22"/>
                <w:szCs w:val="22"/>
              </w:rPr>
              <w:t xml:space="preserve">A 803005, konto 381 (140.000,00 kuna </w:t>
            </w:r>
            <w:r w:rsidRPr="00FB55A6">
              <w:rPr>
                <w:sz w:val="22"/>
                <w:szCs w:val="22"/>
                <w:lang w:eastAsia="en-US"/>
              </w:rPr>
              <w:t>na godišnjoj razini)</w:t>
            </w:r>
          </w:p>
          <w:p w:rsidR="00843197" w:rsidRPr="00FB55A6" w:rsidRDefault="00843197" w:rsidP="00080D4A">
            <w:pPr>
              <w:ind w:left="34" w:hanging="34"/>
              <w:rPr>
                <w:sz w:val="22"/>
                <w:szCs w:val="22"/>
                <w:lang w:eastAsia="en-US"/>
              </w:rPr>
            </w:pPr>
          </w:p>
          <w:p w:rsidR="00843197" w:rsidRPr="00CD14B7" w:rsidRDefault="00843197" w:rsidP="00080D4A">
            <w:pPr>
              <w:ind w:left="34" w:hanging="34"/>
              <w:rPr>
                <w:sz w:val="22"/>
                <w:szCs w:val="22"/>
                <w:lang w:eastAsia="en-US"/>
              </w:rPr>
            </w:pPr>
            <w:r w:rsidRPr="00CD14B7">
              <w:rPr>
                <w:sz w:val="22"/>
                <w:szCs w:val="22"/>
                <w:lang w:eastAsia="en-US"/>
              </w:rPr>
              <w:t>Hrvatski zavod za zdravstveno osiguranje u okviru sredstava za redovne aktivnosti</w:t>
            </w:r>
          </w:p>
          <w:p w:rsidR="00843197" w:rsidRPr="00FB55A6" w:rsidRDefault="00843197" w:rsidP="00080D4A">
            <w:pPr>
              <w:ind w:left="34" w:hanging="34"/>
              <w:rPr>
                <w:sz w:val="22"/>
                <w:szCs w:val="22"/>
                <w:lang w:eastAsia="en-US"/>
              </w:rPr>
            </w:pPr>
            <w:r w:rsidRPr="00CD14B7">
              <w:rPr>
                <w:sz w:val="22"/>
                <w:szCs w:val="22"/>
                <w:lang w:eastAsia="en-US"/>
              </w:rPr>
              <w:t>(A 1002 Administracija i upravljanje obveznim zdravstvenim osiguranjem)</w:t>
            </w:r>
          </w:p>
        </w:tc>
      </w:tr>
      <w:tr w:rsidR="00843197" w:rsidTr="00080D4A">
        <w:trPr>
          <w:trHeight w:val="240"/>
        </w:trPr>
        <w:tc>
          <w:tcPr>
            <w:tcW w:w="1248" w:type="dxa"/>
            <w:tcBorders>
              <w:top w:val="double" w:sz="4" w:space="0" w:color="auto"/>
              <w:left w:val="double" w:sz="4" w:space="0" w:color="auto"/>
              <w:bottom w:val="double" w:sz="4" w:space="0" w:color="auto"/>
              <w:right w:val="double" w:sz="4" w:space="0" w:color="auto"/>
            </w:tcBorders>
          </w:tcPr>
          <w:p w:rsidR="00843197" w:rsidRDefault="00843197" w:rsidP="00080D4A">
            <w:pPr>
              <w:rPr>
                <w:b/>
                <w:sz w:val="20"/>
                <w:szCs w:val="20"/>
              </w:rPr>
            </w:pPr>
            <w:r>
              <w:rPr>
                <w:b/>
                <w:sz w:val="20"/>
                <w:szCs w:val="20"/>
              </w:rPr>
              <w:t>Indikatori</w:t>
            </w:r>
          </w:p>
          <w:p w:rsidR="00843197" w:rsidRDefault="00843197" w:rsidP="00080D4A">
            <w:pPr>
              <w:rPr>
                <w:sz w:val="20"/>
                <w:szCs w:val="20"/>
                <w:lang w:eastAsia="en-US"/>
              </w:rPr>
            </w:pPr>
          </w:p>
        </w:tc>
        <w:tc>
          <w:tcPr>
            <w:tcW w:w="8891" w:type="dxa"/>
            <w:gridSpan w:val="4"/>
            <w:tcBorders>
              <w:top w:val="double" w:sz="4" w:space="0" w:color="auto"/>
              <w:left w:val="double" w:sz="4" w:space="0" w:color="auto"/>
              <w:bottom w:val="double" w:sz="4" w:space="0" w:color="auto"/>
              <w:right w:val="double" w:sz="4" w:space="0" w:color="auto"/>
            </w:tcBorders>
          </w:tcPr>
          <w:p w:rsidR="00843197" w:rsidRPr="00F430A9" w:rsidRDefault="00843197" w:rsidP="00080D4A">
            <w:pPr>
              <w:rPr>
                <w:b/>
                <w:sz w:val="20"/>
                <w:szCs w:val="20"/>
              </w:rPr>
            </w:pPr>
            <w:r>
              <w:rPr>
                <w:b/>
                <w:sz w:val="20"/>
                <w:szCs w:val="20"/>
              </w:rPr>
              <w:t xml:space="preserve">Indikatori provedbe </w:t>
            </w:r>
          </w:p>
          <w:p w:rsidR="00843197" w:rsidRDefault="00843197" w:rsidP="00080D4A">
            <w:pPr>
              <w:rPr>
                <w:sz w:val="20"/>
                <w:szCs w:val="20"/>
              </w:rPr>
            </w:pPr>
            <w:r>
              <w:rPr>
                <w:sz w:val="20"/>
                <w:szCs w:val="20"/>
              </w:rPr>
              <w:t xml:space="preserve">• izvješće o vanjskoj kontroli kvalitete </w:t>
            </w:r>
          </w:p>
          <w:p w:rsidR="00843197" w:rsidRDefault="00843197" w:rsidP="00080D4A">
            <w:pPr>
              <w:rPr>
                <w:sz w:val="20"/>
                <w:szCs w:val="20"/>
              </w:rPr>
            </w:pPr>
            <w:r>
              <w:rPr>
                <w:sz w:val="20"/>
                <w:szCs w:val="20"/>
              </w:rPr>
              <w:t>• godišnje izvješće</w:t>
            </w:r>
          </w:p>
          <w:p w:rsidR="00843197" w:rsidRDefault="00843197" w:rsidP="00080D4A">
            <w:pPr>
              <w:rPr>
                <w:b/>
                <w:sz w:val="20"/>
                <w:szCs w:val="20"/>
              </w:rPr>
            </w:pPr>
            <w:r>
              <w:rPr>
                <w:b/>
                <w:sz w:val="20"/>
                <w:szCs w:val="20"/>
              </w:rPr>
              <w:t>Indikatori uspješnosti</w:t>
            </w:r>
          </w:p>
          <w:p w:rsidR="00843197" w:rsidRDefault="00843197" w:rsidP="00080D4A">
            <w:pPr>
              <w:rPr>
                <w:snapToGrid w:val="0"/>
                <w:sz w:val="20"/>
                <w:szCs w:val="20"/>
              </w:rPr>
            </w:pPr>
            <w:r>
              <w:rPr>
                <w:sz w:val="20"/>
                <w:szCs w:val="20"/>
              </w:rPr>
              <w:t>•</w:t>
            </w:r>
            <w:r>
              <w:rPr>
                <w:snapToGrid w:val="0"/>
                <w:sz w:val="20"/>
                <w:szCs w:val="20"/>
              </w:rPr>
              <w:t>smanjenje  potrošnje antibiotika</w:t>
            </w:r>
          </w:p>
          <w:p w:rsidR="00843197" w:rsidRDefault="00843197" w:rsidP="00080D4A">
            <w:pPr>
              <w:rPr>
                <w:snapToGrid w:val="0"/>
                <w:sz w:val="20"/>
                <w:szCs w:val="20"/>
              </w:rPr>
            </w:pPr>
            <w:r>
              <w:rPr>
                <w:sz w:val="20"/>
                <w:szCs w:val="20"/>
              </w:rPr>
              <w:t>•</w:t>
            </w:r>
            <w:r>
              <w:rPr>
                <w:snapToGrid w:val="0"/>
                <w:sz w:val="20"/>
                <w:szCs w:val="20"/>
              </w:rPr>
              <w:t xml:space="preserve">smanjenje ili stagniranje stopa otpornosti bakterija na antibiotike </w:t>
            </w: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Pr="002C5D1B" w:rsidRDefault="00843197" w:rsidP="00080D4A">
            <w:pPr>
              <w:jc w:val="both"/>
              <w:rPr>
                <w:b/>
                <w:sz w:val="20"/>
                <w:szCs w:val="20"/>
              </w:rPr>
            </w:pPr>
          </w:p>
          <w:p w:rsidR="00843197" w:rsidRPr="002C5D1B" w:rsidRDefault="00843197" w:rsidP="00080D4A">
            <w:pPr>
              <w:jc w:val="both"/>
              <w:rPr>
                <w:snapToGrid w:val="0"/>
                <w:sz w:val="20"/>
                <w:szCs w:val="20"/>
              </w:rPr>
            </w:pPr>
            <w:r w:rsidRPr="002C5D1B">
              <w:rPr>
                <w:b/>
              </w:rPr>
              <w:t xml:space="preserve">Cilj 2. </w:t>
            </w:r>
            <w:r w:rsidR="002C5D1B" w:rsidRPr="002C5D1B">
              <w:rPr>
                <w:b/>
                <w:snapToGrid w:val="0"/>
              </w:rPr>
              <w:t xml:space="preserve">Podizanje svjesnosti o štetnosti prekomjerne uporabe antibiotika </w:t>
            </w:r>
            <w:r w:rsidRPr="002C5D1B">
              <w:rPr>
                <w:snapToGrid w:val="0"/>
                <w:sz w:val="20"/>
                <w:szCs w:val="20"/>
              </w:rPr>
              <w:t xml:space="preserve">(u skladu s Globalnim akcijskim planom SZO, cilj 2) </w:t>
            </w:r>
          </w:p>
          <w:p w:rsidR="00843197" w:rsidRPr="002C5D1B" w:rsidRDefault="00843197" w:rsidP="00080D4A">
            <w:pPr>
              <w:jc w:val="both"/>
              <w:rPr>
                <w:snapToGrid w:val="0"/>
                <w:sz w:val="20"/>
                <w:szCs w:val="20"/>
                <w:lang w:eastAsia="en-US"/>
              </w:rPr>
            </w:pPr>
            <w:r w:rsidRPr="002C5D1B">
              <w:rPr>
                <w:snapToGrid w:val="0"/>
                <w:sz w:val="20"/>
                <w:szCs w:val="20"/>
              </w:rPr>
              <w:t xml:space="preserve">             </w:t>
            </w:r>
          </w:p>
        </w:tc>
      </w:tr>
      <w:tr w:rsidR="00843197" w:rsidRPr="00677364"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843197" w:rsidRPr="00677364" w:rsidRDefault="00843197" w:rsidP="00080D4A">
            <w:pPr>
              <w:jc w:val="both"/>
              <w:rPr>
                <w:rFonts w:cstheme="minorBidi"/>
                <w:snapToGrid w:val="0"/>
                <w:sz w:val="22"/>
                <w:szCs w:val="22"/>
              </w:rPr>
            </w:pPr>
            <w:r>
              <w:rPr>
                <w:b/>
                <w:sz w:val="22"/>
                <w:szCs w:val="22"/>
              </w:rPr>
              <w:t xml:space="preserve">Nositelj: </w:t>
            </w:r>
            <w:r w:rsidRPr="00677364">
              <w:rPr>
                <w:snapToGrid w:val="0"/>
                <w:sz w:val="22"/>
                <w:szCs w:val="22"/>
              </w:rPr>
              <w:t>Medicinski fakultet Sveučilišta u Zagrebu, Medicinski fakultet Sveučilišta u Rijeci, Medicinski fakultet Sveučilišta u Splitu, Medicinski fakultet Sveučilišta Josip Juraj Strossmayer u Osijeku, Farmaceutsko-biokemijski fakultet Sveučilišta u Zagrebu</w:t>
            </w:r>
            <w:r>
              <w:rPr>
                <w:snapToGrid w:val="0"/>
                <w:sz w:val="22"/>
                <w:szCs w:val="22"/>
              </w:rPr>
              <w:t xml:space="preserve"> te ostala visoka učilišta</w:t>
            </w:r>
            <w:r w:rsidRPr="00677364">
              <w:rPr>
                <w:snapToGrid w:val="0"/>
                <w:sz w:val="22"/>
                <w:szCs w:val="22"/>
              </w:rPr>
              <w:t>, Akademija medicinskih znanosti Hrvatske, Agencija za odgoj i obrazovanje M</w:t>
            </w:r>
            <w:r>
              <w:rPr>
                <w:snapToGrid w:val="0"/>
                <w:sz w:val="22"/>
                <w:szCs w:val="22"/>
              </w:rPr>
              <w:t xml:space="preserve">inistarstvo znanosti i obrazovanja </w:t>
            </w:r>
          </w:p>
          <w:p w:rsidR="00843197" w:rsidRPr="00677364" w:rsidRDefault="00843197" w:rsidP="00080D4A">
            <w:pPr>
              <w:rPr>
                <w:sz w:val="22"/>
                <w:szCs w:val="22"/>
                <w:lang w:eastAsia="en-US"/>
              </w:rPr>
            </w:pPr>
            <w:r w:rsidRPr="00677364">
              <w:rPr>
                <w:rFonts w:eastAsia="Calibri"/>
                <w:b/>
                <w:sz w:val="22"/>
                <w:szCs w:val="22"/>
              </w:rPr>
              <w:t>Suradnici u provedbi</w:t>
            </w:r>
            <w:r w:rsidRPr="00677364">
              <w:rPr>
                <w:rFonts w:eastAsia="Calibri"/>
                <w:sz w:val="22"/>
                <w:szCs w:val="22"/>
              </w:rPr>
              <w:t>:</w:t>
            </w:r>
            <w:r w:rsidRPr="00677364">
              <w:rPr>
                <w:sz w:val="22"/>
                <w:szCs w:val="22"/>
              </w:rPr>
              <w:t xml:space="preserve"> </w:t>
            </w:r>
            <w:r w:rsidRPr="00677364">
              <w:rPr>
                <w:snapToGrid w:val="0"/>
                <w:sz w:val="22"/>
                <w:szCs w:val="22"/>
              </w:rPr>
              <w:t xml:space="preserve">Referentni centar Ministarstva zdravlja za praćenje rezistencije bakterija na antibiotike, </w:t>
            </w:r>
            <w:r>
              <w:rPr>
                <w:snapToGrid w:val="0"/>
                <w:sz w:val="22"/>
                <w:szCs w:val="22"/>
              </w:rPr>
              <w:t xml:space="preserve">Hrvatski zavod za javno zdravstvo, </w:t>
            </w:r>
            <w:r w:rsidRPr="00677364">
              <w:rPr>
                <w:snapToGrid w:val="0"/>
                <w:sz w:val="22"/>
                <w:szCs w:val="22"/>
              </w:rPr>
              <w:t>stručna društva Hrvatskog liječničkog zbora</w:t>
            </w:r>
            <w:r>
              <w:rPr>
                <w:snapToGrid w:val="0"/>
                <w:sz w:val="22"/>
                <w:szCs w:val="22"/>
              </w:rPr>
              <w:t>, Hrvatsko farmaceutsko društvo</w:t>
            </w:r>
          </w:p>
        </w:tc>
      </w:tr>
      <w:tr w:rsidR="00843197"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Rok provedbe</w:t>
            </w:r>
          </w:p>
        </w:tc>
        <w:tc>
          <w:tcPr>
            <w:tcW w:w="454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Aktivnosti</w:t>
            </w:r>
          </w:p>
        </w:tc>
        <w:tc>
          <w:tcPr>
            <w:tcW w:w="242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Plan implementacije zadatka</w:t>
            </w:r>
          </w:p>
        </w:tc>
        <w:tc>
          <w:tcPr>
            <w:tcW w:w="1912"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rPr>
            </w:pPr>
            <w:r>
              <w:rPr>
                <w:b/>
                <w:sz w:val="20"/>
                <w:szCs w:val="20"/>
              </w:rPr>
              <w:t>Aktivnost/pozicija/račun</w:t>
            </w:r>
          </w:p>
          <w:p w:rsidR="00843197" w:rsidRDefault="00843197" w:rsidP="00080D4A">
            <w:pPr>
              <w:jc w:val="center"/>
              <w:rPr>
                <w:b/>
                <w:sz w:val="20"/>
                <w:szCs w:val="20"/>
                <w:lang w:eastAsia="en-US"/>
              </w:rPr>
            </w:pPr>
            <w:r>
              <w:rPr>
                <w:b/>
                <w:sz w:val="20"/>
                <w:szCs w:val="20"/>
              </w:rPr>
              <w:t>Iznos financijskih sredstava</w:t>
            </w:r>
          </w:p>
        </w:tc>
      </w:tr>
      <w:tr w:rsidR="00843197" w:rsidRPr="00150799"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rPr>
                <w:sz w:val="22"/>
                <w:szCs w:val="22"/>
                <w:lang w:eastAsia="en-US"/>
              </w:rPr>
            </w:pPr>
            <w:r w:rsidRPr="00150799">
              <w:rPr>
                <w:sz w:val="22"/>
                <w:szCs w:val="22"/>
              </w:rPr>
              <w:t>2017.-2021.</w:t>
            </w:r>
          </w:p>
        </w:tc>
        <w:tc>
          <w:tcPr>
            <w:tcW w:w="4541" w:type="dxa"/>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pStyle w:val="Odlomakpopisa"/>
              <w:widowControl w:val="0"/>
              <w:numPr>
                <w:ilvl w:val="0"/>
                <w:numId w:val="24"/>
              </w:numPr>
              <w:ind w:left="172" w:firstLine="0"/>
              <w:contextualSpacing/>
              <w:rPr>
                <w:snapToGrid w:val="0"/>
                <w:sz w:val="22"/>
                <w:szCs w:val="22"/>
              </w:rPr>
            </w:pPr>
            <w:r w:rsidRPr="00150799">
              <w:rPr>
                <w:snapToGrid w:val="0"/>
                <w:sz w:val="22"/>
                <w:szCs w:val="22"/>
              </w:rPr>
              <w:t>Razmotrit će se potreba za prilagodbom nastavnih sadržaja za osnovnoškolsko i srednjoškolsko obrazovanje</w:t>
            </w:r>
          </w:p>
          <w:p w:rsidR="00843197" w:rsidRPr="00150799" w:rsidRDefault="00843197" w:rsidP="00080D4A">
            <w:pPr>
              <w:pStyle w:val="Odlomakpopisa"/>
              <w:widowControl w:val="0"/>
              <w:ind w:left="172"/>
              <w:contextualSpacing/>
              <w:rPr>
                <w:snapToGrid w:val="0"/>
                <w:sz w:val="22"/>
                <w:szCs w:val="22"/>
              </w:rPr>
            </w:pPr>
          </w:p>
          <w:p w:rsidR="00843197" w:rsidRPr="00150799" w:rsidRDefault="00843197" w:rsidP="00080D4A">
            <w:pPr>
              <w:pStyle w:val="Odlomakpopisa"/>
              <w:widowControl w:val="0"/>
              <w:ind w:left="172"/>
              <w:contextualSpacing/>
              <w:rPr>
                <w:snapToGrid w:val="0"/>
                <w:sz w:val="22"/>
                <w:szCs w:val="22"/>
              </w:rPr>
            </w:pPr>
          </w:p>
          <w:p w:rsidR="00843197" w:rsidRPr="00150799" w:rsidRDefault="00843197" w:rsidP="00080D4A">
            <w:pPr>
              <w:pStyle w:val="Odlomakpopisa"/>
              <w:widowControl w:val="0"/>
              <w:numPr>
                <w:ilvl w:val="0"/>
                <w:numId w:val="24"/>
              </w:numPr>
              <w:ind w:left="172" w:firstLine="0"/>
              <w:contextualSpacing/>
              <w:rPr>
                <w:snapToGrid w:val="0"/>
                <w:sz w:val="22"/>
                <w:szCs w:val="22"/>
              </w:rPr>
            </w:pPr>
            <w:r w:rsidRPr="00150799">
              <w:rPr>
                <w:snapToGrid w:val="0"/>
                <w:sz w:val="22"/>
                <w:szCs w:val="22"/>
              </w:rPr>
              <w:t xml:space="preserve">Prilagodba nastavnih sadržaja na </w:t>
            </w:r>
            <w:r w:rsidRPr="00150799">
              <w:rPr>
                <w:color w:val="000000" w:themeColor="text1"/>
                <w:sz w:val="22"/>
                <w:szCs w:val="22"/>
              </w:rPr>
              <w:t xml:space="preserve"> sveučilišnim, specijalističkim i stručnim studijima </w:t>
            </w:r>
            <w:r w:rsidRPr="00150799">
              <w:rPr>
                <w:snapToGrid w:val="0"/>
                <w:sz w:val="22"/>
                <w:szCs w:val="22"/>
              </w:rPr>
              <w:t>(potenciranje edukacije o praktičnoj primjeni antibiotika u najčešćim kliničkim indikacijama u skladu s ISKRA nacionalnim i internacionalnim smjernicama)</w:t>
            </w:r>
          </w:p>
          <w:p w:rsidR="00843197" w:rsidRPr="00150799" w:rsidRDefault="00843197" w:rsidP="00080D4A">
            <w:pPr>
              <w:pStyle w:val="Odlomakpopisa"/>
              <w:widowControl w:val="0"/>
              <w:ind w:left="172"/>
              <w:contextualSpacing/>
              <w:rPr>
                <w:snapToGrid w:val="0"/>
                <w:sz w:val="22"/>
                <w:szCs w:val="22"/>
              </w:rPr>
            </w:pPr>
          </w:p>
          <w:p w:rsidR="00843197" w:rsidRPr="00150799" w:rsidRDefault="00843197" w:rsidP="00080D4A">
            <w:pPr>
              <w:pStyle w:val="Odlomakpopisa"/>
              <w:widowControl w:val="0"/>
              <w:numPr>
                <w:ilvl w:val="0"/>
                <w:numId w:val="24"/>
              </w:numPr>
              <w:ind w:left="172" w:firstLine="0"/>
              <w:contextualSpacing/>
              <w:rPr>
                <w:snapToGrid w:val="0"/>
                <w:sz w:val="22"/>
                <w:szCs w:val="22"/>
              </w:rPr>
            </w:pPr>
            <w:r w:rsidRPr="00150799">
              <w:rPr>
                <w:snapToGrid w:val="0"/>
                <w:sz w:val="22"/>
                <w:szCs w:val="22"/>
              </w:rPr>
              <w:t>Izrada i revidiranje ISKRA nacionalnih smjernica o uporabi antibiotika</w:t>
            </w:r>
          </w:p>
          <w:p w:rsidR="00843197" w:rsidRPr="00150799" w:rsidRDefault="00843197" w:rsidP="00080D4A">
            <w:pPr>
              <w:pStyle w:val="Odlomakpopisa"/>
              <w:ind w:left="172"/>
              <w:rPr>
                <w:snapToGrid w:val="0"/>
                <w:sz w:val="22"/>
                <w:szCs w:val="22"/>
              </w:rPr>
            </w:pPr>
          </w:p>
          <w:p w:rsidR="00843197" w:rsidRPr="00150799" w:rsidRDefault="00843197" w:rsidP="00080D4A">
            <w:pPr>
              <w:pStyle w:val="Odlomakpopisa"/>
              <w:widowControl w:val="0"/>
              <w:numPr>
                <w:ilvl w:val="0"/>
                <w:numId w:val="24"/>
              </w:numPr>
              <w:ind w:left="172" w:firstLine="0"/>
              <w:contextualSpacing/>
              <w:rPr>
                <w:snapToGrid w:val="0"/>
                <w:sz w:val="22"/>
                <w:szCs w:val="22"/>
              </w:rPr>
            </w:pPr>
            <w:r w:rsidRPr="00150799">
              <w:rPr>
                <w:snapToGrid w:val="0"/>
                <w:sz w:val="22"/>
                <w:szCs w:val="22"/>
              </w:rPr>
              <w:t xml:space="preserve">Provođenje javne kampanje, obilježavanje Europskog dana svjesnosti o antibioticima (EAAD) </w:t>
            </w:r>
            <w:r w:rsidRPr="00150799">
              <w:rPr>
                <w:i/>
                <w:snapToGrid w:val="0"/>
                <w:sz w:val="22"/>
                <w:szCs w:val="22"/>
              </w:rPr>
              <w:t xml:space="preserve"> </w:t>
            </w:r>
          </w:p>
        </w:tc>
        <w:tc>
          <w:tcPr>
            <w:tcW w:w="2421"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widowControl w:val="0"/>
              <w:rPr>
                <w:snapToGrid w:val="0"/>
                <w:sz w:val="22"/>
                <w:szCs w:val="22"/>
              </w:rPr>
            </w:pPr>
            <w:r w:rsidRPr="00150799">
              <w:rPr>
                <w:snapToGrid w:val="0"/>
                <w:sz w:val="22"/>
                <w:szCs w:val="22"/>
              </w:rPr>
              <w:t>pripreme tijekom 2017./2018. godine, provedba 2019. godine i dalje kontinuirano</w:t>
            </w:r>
          </w:p>
          <w:p w:rsidR="00843197" w:rsidRPr="00150799" w:rsidRDefault="00843197" w:rsidP="00080D4A">
            <w:pPr>
              <w:widowControl w:val="0"/>
              <w:rPr>
                <w:snapToGrid w:val="0"/>
                <w:sz w:val="22"/>
                <w:szCs w:val="22"/>
              </w:rPr>
            </w:pPr>
          </w:p>
          <w:p w:rsidR="00843197" w:rsidRPr="00150799" w:rsidRDefault="00843197" w:rsidP="00080D4A">
            <w:pPr>
              <w:widowControl w:val="0"/>
              <w:rPr>
                <w:snapToGrid w:val="0"/>
                <w:sz w:val="22"/>
                <w:szCs w:val="22"/>
              </w:rPr>
            </w:pPr>
            <w:r w:rsidRPr="00150799">
              <w:rPr>
                <w:snapToGrid w:val="0"/>
                <w:sz w:val="22"/>
                <w:szCs w:val="22"/>
              </w:rPr>
              <w:t>pripreme tijekom 2017./2018.  godine provedba tijekom 2019. godine i dalje kontinuirano</w:t>
            </w:r>
          </w:p>
          <w:p w:rsidR="00843197" w:rsidRPr="00150799" w:rsidRDefault="00843197" w:rsidP="00080D4A">
            <w:pPr>
              <w:widowControl w:val="0"/>
              <w:rPr>
                <w:i/>
                <w:snapToGrid w:val="0"/>
                <w:sz w:val="22"/>
                <w:szCs w:val="22"/>
              </w:rPr>
            </w:pPr>
          </w:p>
          <w:p w:rsidR="00843197" w:rsidRPr="00150799" w:rsidRDefault="00843197" w:rsidP="00080D4A">
            <w:pPr>
              <w:widowControl w:val="0"/>
              <w:rPr>
                <w:snapToGrid w:val="0"/>
                <w:sz w:val="22"/>
                <w:szCs w:val="22"/>
              </w:rPr>
            </w:pPr>
          </w:p>
          <w:p w:rsidR="00843197" w:rsidRPr="00150799" w:rsidRDefault="00843197" w:rsidP="00080D4A">
            <w:pPr>
              <w:widowControl w:val="0"/>
              <w:rPr>
                <w:snapToGrid w:val="0"/>
                <w:sz w:val="22"/>
                <w:szCs w:val="22"/>
              </w:rPr>
            </w:pPr>
          </w:p>
          <w:p w:rsidR="00843197" w:rsidRPr="00150799" w:rsidRDefault="00843197" w:rsidP="00080D4A">
            <w:pPr>
              <w:widowControl w:val="0"/>
              <w:rPr>
                <w:snapToGrid w:val="0"/>
                <w:sz w:val="22"/>
                <w:szCs w:val="22"/>
              </w:rPr>
            </w:pPr>
            <w:r w:rsidRPr="00150799">
              <w:rPr>
                <w:snapToGrid w:val="0"/>
                <w:sz w:val="22"/>
                <w:szCs w:val="22"/>
              </w:rPr>
              <w:t>ovisno o inicijativi stručnih društava</w:t>
            </w:r>
          </w:p>
          <w:p w:rsidR="00843197" w:rsidRPr="00150799" w:rsidRDefault="00843197" w:rsidP="00080D4A">
            <w:pPr>
              <w:widowControl w:val="0"/>
              <w:rPr>
                <w:snapToGrid w:val="0"/>
                <w:sz w:val="22"/>
                <w:szCs w:val="22"/>
              </w:rPr>
            </w:pPr>
          </w:p>
          <w:p w:rsidR="00843197" w:rsidRPr="00150799" w:rsidRDefault="00843197" w:rsidP="00080D4A">
            <w:pPr>
              <w:widowControl w:val="0"/>
              <w:rPr>
                <w:snapToGrid w:val="0"/>
                <w:sz w:val="22"/>
                <w:szCs w:val="22"/>
              </w:rPr>
            </w:pPr>
          </w:p>
          <w:p w:rsidR="00843197" w:rsidRPr="00150799" w:rsidRDefault="00843197" w:rsidP="00080D4A">
            <w:pPr>
              <w:widowControl w:val="0"/>
              <w:rPr>
                <w:i/>
                <w:snapToGrid w:val="0"/>
                <w:sz w:val="22"/>
                <w:szCs w:val="22"/>
              </w:rPr>
            </w:pPr>
            <w:r w:rsidRPr="00150799">
              <w:rPr>
                <w:snapToGrid w:val="0"/>
                <w:sz w:val="22"/>
                <w:szCs w:val="22"/>
              </w:rPr>
              <w:t>zimska sezona, godišnje</w:t>
            </w:r>
          </w:p>
        </w:tc>
        <w:tc>
          <w:tcPr>
            <w:tcW w:w="1912"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ind w:right="-160"/>
              <w:rPr>
                <w:sz w:val="22"/>
                <w:szCs w:val="22"/>
                <w:lang w:eastAsia="en-US"/>
              </w:rPr>
            </w:pPr>
            <w:r w:rsidRPr="00150799">
              <w:rPr>
                <w:sz w:val="22"/>
                <w:szCs w:val="22"/>
                <w:lang w:eastAsia="en-US"/>
              </w:rPr>
              <w:t xml:space="preserve">Ministarstvo zdravstva u okviru sredstava navedenih pod Ciljem 1. </w:t>
            </w:r>
          </w:p>
        </w:tc>
      </w:tr>
      <w:tr w:rsidR="00843197" w:rsidRPr="00150799"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tcPr>
          <w:p w:rsidR="00843197" w:rsidRPr="00150799" w:rsidRDefault="00843197" w:rsidP="00080D4A">
            <w:pPr>
              <w:rPr>
                <w:b/>
                <w:sz w:val="22"/>
                <w:szCs w:val="22"/>
              </w:rPr>
            </w:pPr>
            <w:r w:rsidRPr="00150799">
              <w:rPr>
                <w:b/>
                <w:sz w:val="22"/>
                <w:szCs w:val="22"/>
              </w:rPr>
              <w:t>Indikatori</w:t>
            </w:r>
          </w:p>
          <w:p w:rsidR="00843197" w:rsidRPr="00150799" w:rsidRDefault="00843197" w:rsidP="00080D4A">
            <w:pPr>
              <w:rPr>
                <w:sz w:val="22"/>
                <w:szCs w:val="22"/>
                <w:lang w:eastAsia="en-US"/>
              </w:rPr>
            </w:pPr>
          </w:p>
        </w:tc>
        <w:tc>
          <w:tcPr>
            <w:tcW w:w="8874" w:type="dxa"/>
            <w:gridSpan w:val="3"/>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jc w:val="both"/>
              <w:rPr>
                <w:snapToGrid w:val="0"/>
                <w:sz w:val="22"/>
                <w:szCs w:val="22"/>
              </w:rPr>
            </w:pPr>
            <w:r w:rsidRPr="00150799">
              <w:rPr>
                <w:b/>
                <w:snapToGrid w:val="0"/>
                <w:sz w:val="22"/>
                <w:szCs w:val="22"/>
              </w:rPr>
              <w:t>Indikatori</w:t>
            </w:r>
            <w:r w:rsidRPr="00150799">
              <w:rPr>
                <w:b/>
                <w:sz w:val="22"/>
                <w:szCs w:val="22"/>
              </w:rPr>
              <w:t xml:space="preserve"> provedbe</w:t>
            </w:r>
          </w:p>
          <w:p w:rsidR="00843197" w:rsidRPr="00150799" w:rsidRDefault="00843197" w:rsidP="00080D4A">
            <w:pPr>
              <w:rPr>
                <w:sz w:val="22"/>
                <w:szCs w:val="22"/>
              </w:rPr>
            </w:pPr>
            <w:r w:rsidRPr="00150799">
              <w:rPr>
                <w:sz w:val="22"/>
                <w:szCs w:val="22"/>
              </w:rPr>
              <w:t>• broj revidiranih ISKRA smjernica</w:t>
            </w:r>
          </w:p>
          <w:p w:rsidR="00843197" w:rsidRPr="00150799" w:rsidRDefault="00843197" w:rsidP="00080D4A">
            <w:pPr>
              <w:rPr>
                <w:sz w:val="22"/>
                <w:szCs w:val="22"/>
              </w:rPr>
            </w:pPr>
            <w:r w:rsidRPr="00150799">
              <w:rPr>
                <w:sz w:val="22"/>
                <w:szCs w:val="22"/>
              </w:rPr>
              <w:t xml:space="preserve">• broj prilagođenih nastavnih sadržaja </w:t>
            </w:r>
          </w:p>
          <w:p w:rsidR="00843197" w:rsidRPr="00150799" w:rsidRDefault="00843197" w:rsidP="00080D4A">
            <w:pPr>
              <w:rPr>
                <w:sz w:val="22"/>
                <w:szCs w:val="22"/>
              </w:rPr>
            </w:pPr>
            <w:r w:rsidRPr="00150799">
              <w:rPr>
                <w:sz w:val="22"/>
                <w:szCs w:val="22"/>
              </w:rPr>
              <w:t>•</w:t>
            </w:r>
            <w:r w:rsidRPr="00150799">
              <w:rPr>
                <w:snapToGrid w:val="0"/>
                <w:sz w:val="22"/>
                <w:szCs w:val="22"/>
              </w:rPr>
              <w:t xml:space="preserve"> broj</w:t>
            </w:r>
            <w:r w:rsidRPr="00150799">
              <w:rPr>
                <w:sz w:val="22"/>
                <w:szCs w:val="22"/>
              </w:rPr>
              <w:t xml:space="preserve"> provedenih  javnih kampanji</w:t>
            </w:r>
          </w:p>
          <w:p w:rsidR="00843197" w:rsidRPr="00150799" w:rsidRDefault="00843197" w:rsidP="00080D4A">
            <w:pPr>
              <w:rPr>
                <w:b/>
                <w:sz w:val="22"/>
                <w:szCs w:val="22"/>
              </w:rPr>
            </w:pPr>
            <w:r w:rsidRPr="00150799">
              <w:rPr>
                <w:b/>
                <w:sz w:val="22"/>
                <w:szCs w:val="22"/>
              </w:rPr>
              <w:t>Indikatori uspješnosti</w:t>
            </w:r>
          </w:p>
          <w:p w:rsidR="00843197" w:rsidRPr="00150799" w:rsidRDefault="00843197" w:rsidP="00080D4A">
            <w:pPr>
              <w:rPr>
                <w:b/>
                <w:sz w:val="22"/>
                <w:szCs w:val="22"/>
                <w:lang w:eastAsia="en-US"/>
              </w:rPr>
            </w:pPr>
            <w:r w:rsidRPr="00150799">
              <w:rPr>
                <w:sz w:val="22"/>
                <w:szCs w:val="22"/>
              </w:rPr>
              <w:t>•</w:t>
            </w:r>
            <w:r w:rsidRPr="00150799">
              <w:rPr>
                <w:snapToGrid w:val="0"/>
                <w:sz w:val="22"/>
                <w:szCs w:val="22"/>
              </w:rPr>
              <w:t>smanjenje ili stagniranje potrošnje antibiotika</w:t>
            </w: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jc w:val="both"/>
              <w:rPr>
                <w:b/>
                <w:sz w:val="20"/>
                <w:szCs w:val="20"/>
              </w:rPr>
            </w:pPr>
          </w:p>
          <w:p w:rsidR="00843197" w:rsidRDefault="00843197" w:rsidP="00080D4A">
            <w:pPr>
              <w:jc w:val="both"/>
              <w:rPr>
                <w:snapToGrid w:val="0"/>
                <w:sz w:val="20"/>
                <w:szCs w:val="20"/>
              </w:rPr>
            </w:pPr>
            <w:r>
              <w:rPr>
                <w:b/>
              </w:rPr>
              <w:t xml:space="preserve">Cilj 3. </w:t>
            </w:r>
            <w:r>
              <w:rPr>
                <w:b/>
                <w:snapToGrid w:val="0"/>
              </w:rPr>
              <w:t xml:space="preserve"> </w:t>
            </w:r>
            <w:r w:rsidRPr="002C5D1B">
              <w:rPr>
                <w:b/>
                <w:snapToGrid w:val="0"/>
              </w:rPr>
              <w:t xml:space="preserve">Sprječavanje </w:t>
            </w:r>
            <w:r w:rsidR="002C5D1B" w:rsidRPr="002C5D1B">
              <w:rPr>
                <w:b/>
                <w:snapToGrid w:val="0"/>
              </w:rPr>
              <w:t xml:space="preserve">pojave </w:t>
            </w:r>
            <w:r w:rsidRPr="002C5D1B">
              <w:rPr>
                <w:b/>
                <w:snapToGrid w:val="0"/>
              </w:rPr>
              <w:t xml:space="preserve">i kontrola </w:t>
            </w:r>
            <w:r w:rsidR="002C5D1B" w:rsidRPr="002C5D1B">
              <w:rPr>
                <w:b/>
                <w:snapToGrid w:val="0"/>
              </w:rPr>
              <w:t xml:space="preserve">širenja </w:t>
            </w:r>
            <w:r w:rsidRPr="002C5D1B">
              <w:rPr>
                <w:b/>
                <w:snapToGrid w:val="0"/>
              </w:rPr>
              <w:t xml:space="preserve">infekcija </w:t>
            </w:r>
            <w:r>
              <w:rPr>
                <w:snapToGrid w:val="0"/>
                <w:sz w:val="20"/>
                <w:szCs w:val="20"/>
              </w:rPr>
              <w:t>(u skladu s Globalnim akcijskim planom SZO, cilj 3)</w:t>
            </w:r>
          </w:p>
          <w:p w:rsidR="00843197" w:rsidRDefault="00843197" w:rsidP="00080D4A">
            <w:pPr>
              <w:jc w:val="both"/>
              <w:rPr>
                <w:snapToGrid w:val="0"/>
                <w:sz w:val="20"/>
                <w:szCs w:val="20"/>
              </w:rPr>
            </w:pP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843197" w:rsidRPr="000E47D0" w:rsidRDefault="00843197" w:rsidP="00080D4A">
            <w:pPr>
              <w:jc w:val="both"/>
              <w:rPr>
                <w:rFonts w:eastAsia="Calibri"/>
                <w:b/>
                <w:sz w:val="22"/>
                <w:szCs w:val="22"/>
              </w:rPr>
            </w:pPr>
            <w:r>
              <w:rPr>
                <w:b/>
                <w:sz w:val="22"/>
                <w:szCs w:val="22"/>
              </w:rPr>
              <w:t>Nositelj</w:t>
            </w:r>
            <w:r w:rsidRPr="00677364">
              <w:rPr>
                <w:b/>
                <w:sz w:val="22"/>
                <w:szCs w:val="22"/>
              </w:rPr>
              <w:t>:</w:t>
            </w:r>
            <w:r w:rsidRPr="00677364">
              <w:rPr>
                <w:rFonts w:eastAsia="Calibri"/>
                <w:sz w:val="22"/>
                <w:szCs w:val="22"/>
              </w:rPr>
              <w:t xml:space="preserve"> </w:t>
            </w:r>
            <w:r w:rsidRPr="00677364">
              <w:rPr>
                <w:rFonts w:eastAsia="Calibri"/>
                <w:b/>
                <w:sz w:val="22"/>
                <w:szCs w:val="22"/>
              </w:rPr>
              <w:t xml:space="preserve"> </w:t>
            </w:r>
            <w:r>
              <w:rPr>
                <w:rFonts w:eastAsia="Calibri"/>
                <w:sz w:val="22"/>
                <w:szCs w:val="22"/>
              </w:rPr>
              <w:t>Ministarstvo zdravstva</w:t>
            </w:r>
          </w:p>
          <w:p w:rsidR="00843197" w:rsidRDefault="00843197" w:rsidP="00080D4A">
            <w:pPr>
              <w:rPr>
                <w:sz w:val="20"/>
                <w:szCs w:val="20"/>
                <w:lang w:eastAsia="en-US"/>
              </w:rPr>
            </w:pPr>
            <w:r w:rsidRPr="00677364">
              <w:rPr>
                <w:rFonts w:eastAsia="Calibri"/>
                <w:b/>
                <w:sz w:val="22"/>
                <w:szCs w:val="22"/>
              </w:rPr>
              <w:t>Suradnici u provedbi</w:t>
            </w:r>
            <w:r w:rsidRPr="00677364">
              <w:rPr>
                <w:rFonts w:eastAsia="Calibri"/>
                <w:sz w:val="22"/>
                <w:szCs w:val="22"/>
              </w:rPr>
              <w:t>:</w:t>
            </w:r>
            <w:r>
              <w:rPr>
                <w:sz w:val="22"/>
                <w:szCs w:val="22"/>
              </w:rPr>
              <w:t xml:space="preserve"> </w:t>
            </w:r>
            <w:r>
              <w:rPr>
                <w:rFonts w:eastAsia="Calibri"/>
                <w:sz w:val="22"/>
                <w:szCs w:val="22"/>
              </w:rPr>
              <w:t xml:space="preserve"> Referentni centar Ministarstva zdravstva za bolničke infekcije,</w:t>
            </w:r>
            <w:r w:rsidRPr="00677364">
              <w:rPr>
                <w:snapToGrid w:val="0"/>
                <w:sz w:val="22"/>
                <w:szCs w:val="22"/>
              </w:rPr>
              <w:t xml:space="preserve"> </w:t>
            </w:r>
            <w:r>
              <w:rPr>
                <w:snapToGrid w:val="0"/>
                <w:sz w:val="22"/>
                <w:szCs w:val="22"/>
              </w:rPr>
              <w:t xml:space="preserve"> </w:t>
            </w:r>
            <w:r>
              <w:rPr>
                <w:sz w:val="22"/>
                <w:szCs w:val="22"/>
              </w:rPr>
              <w:t xml:space="preserve">Povjerenstva za bolničke infekcije, </w:t>
            </w:r>
            <w:r w:rsidRPr="00677364">
              <w:rPr>
                <w:snapToGrid w:val="0"/>
                <w:sz w:val="22"/>
                <w:szCs w:val="22"/>
              </w:rPr>
              <w:t>Referentni centar Ministarstva zdrav</w:t>
            </w:r>
            <w:r>
              <w:rPr>
                <w:snapToGrid w:val="0"/>
                <w:sz w:val="22"/>
                <w:szCs w:val="22"/>
              </w:rPr>
              <w:t>stva</w:t>
            </w:r>
            <w:r w:rsidRPr="00677364">
              <w:rPr>
                <w:snapToGrid w:val="0"/>
                <w:sz w:val="22"/>
                <w:szCs w:val="22"/>
              </w:rPr>
              <w:t xml:space="preserve"> za praćenje rezistencije bakterija na antibiotike, stručna društva Hrvatskog liječničkog zbora</w:t>
            </w:r>
          </w:p>
        </w:tc>
      </w:tr>
      <w:tr w:rsidR="00843197"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Rok provedbe</w:t>
            </w:r>
          </w:p>
        </w:tc>
        <w:tc>
          <w:tcPr>
            <w:tcW w:w="454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Aktivnosti</w:t>
            </w:r>
          </w:p>
        </w:tc>
        <w:tc>
          <w:tcPr>
            <w:tcW w:w="242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Plan implementacije zadatka</w:t>
            </w:r>
          </w:p>
        </w:tc>
        <w:tc>
          <w:tcPr>
            <w:tcW w:w="1912"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rPr>
            </w:pPr>
            <w:r>
              <w:rPr>
                <w:b/>
                <w:sz w:val="20"/>
                <w:szCs w:val="20"/>
              </w:rPr>
              <w:t>Aktivnost/pozicija/račun</w:t>
            </w:r>
          </w:p>
          <w:p w:rsidR="00843197" w:rsidRDefault="00843197" w:rsidP="00080D4A">
            <w:pPr>
              <w:jc w:val="center"/>
              <w:rPr>
                <w:b/>
                <w:sz w:val="20"/>
                <w:szCs w:val="20"/>
                <w:lang w:eastAsia="en-US"/>
              </w:rPr>
            </w:pPr>
            <w:r>
              <w:rPr>
                <w:b/>
                <w:sz w:val="20"/>
                <w:szCs w:val="20"/>
              </w:rPr>
              <w:t>Iznos financijskih sredstava</w:t>
            </w:r>
          </w:p>
        </w:tc>
      </w:tr>
      <w:tr w:rsidR="00843197" w:rsidRPr="00150799"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rPr>
                <w:sz w:val="22"/>
                <w:szCs w:val="22"/>
                <w:lang w:eastAsia="en-US"/>
              </w:rPr>
            </w:pPr>
            <w:r w:rsidRPr="00150799">
              <w:rPr>
                <w:sz w:val="22"/>
                <w:szCs w:val="22"/>
              </w:rPr>
              <w:t>2017.- 2021.</w:t>
            </w:r>
          </w:p>
        </w:tc>
        <w:tc>
          <w:tcPr>
            <w:tcW w:w="4541" w:type="dxa"/>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numPr>
                <w:ilvl w:val="0"/>
                <w:numId w:val="19"/>
              </w:numPr>
              <w:jc w:val="both"/>
              <w:rPr>
                <w:snapToGrid w:val="0"/>
                <w:sz w:val="22"/>
                <w:szCs w:val="22"/>
              </w:rPr>
            </w:pPr>
            <w:r w:rsidRPr="00150799">
              <w:rPr>
                <w:sz w:val="22"/>
                <w:szCs w:val="22"/>
              </w:rPr>
              <w:t>Implementacija standardnih mjera</w:t>
            </w:r>
          </w:p>
          <w:p w:rsidR="00843197" w:rsidRPr="00150799" w:rsidRDefault="00843197" w:rsidP="00080D4A">
            <w:pPr>
              <w:ind w:left="172"/>
              <w:jc w:val="both"/>
              <w:rPr>
                <w:snapToGrid w:val="0"/>
                <w:sz w:val="22"/>
                <w:szCs w:val="22"/>
              </w:rPr>
            </w:pPr>
            <w:r w:rsidRPr="00150799">
              <w:rPr>
                <w:sz w:val="22"/>
                <w:szCs w:val="22"/>
              </w:rPr>
              <w:t>predostrožnosti i mjera izolacije</w:t>
            </w:r>
          </w:p>
          <w:p w:rsidR="00843197" w:rsidRPr="00150799" w:rsidRDefault="00843197" w:rsidP="00080D4A">
            <w:pPr>
              <w:numPr>
                <w:ilvl w:val="0"/>
                <w:numId w:val="19"/>
              </w:numPr>
              <w:jc w:val="both"/>
              <w:rPr>
                <w:snapToGrid w:val="0"/>
                <w:sz w:val="22"/>
                <w:szCs w:val="22"/>
                <w:lang w:eastAsia="en-US"/>
              </w:rPr>
            </w:pPr>
            <w:r w:rsidRPr="00150799">
              <w:rPr>
                <w:sz w:val="22"/>
                <w:szCs w:val="22"/>
              </w:rPr>
              <w:t>Reorganizacija zdravstvene skrbi: skraćivanje vremena boravka pacijenta u bolnici, osiguravanje dovoljnog broja zdravstvenih radnika</w:t>
            </w:r>
          </w:p>
        </w:tc>
        <w:tc>
          <w:tcPr>
            <w:tcW w:w="2421"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widowControl w:val="0"/>
              <w:rPr>
                <w:rFonts w:cstheme="minorBidi"/>
                <w:snapToGrid w:val="0"/>
                <w:sz w:val="22"/>
                <w:szCs w:val="22"/>
              </w:rPr>
            </w:pPr>
          </w:p>
          <w:p w:rsidR="00843197" w:rsidRPr="00150799" w:rsidRDefault="00843197" w:rsidP="00080D4A">
            <w:pPr>
              <w:widowControl w:val="0"/>
              <w:rPr>
                <w:rFonts w:asciiTheme="minorHAnsi" w:hAnsiTheme="minorHAnsi" w:cstheme="minorBidi"/>
                <w:i/>
                <w:snapToGrid w:val="0"/>
                <w:sz w:val="22"/>
                <w:szCs w:val="22"/>
              </w:rPr>
            </w:pPr>
            <w:r w:rsidRPr="00150799">
              <w:rPr>
                <w:rFonts w:cstheme="minorBidi"/>
                <w:snapToGrid w:val="0"/>
                <w:sz w:val="22"/>
                <w:szCs w:val="22"/>
              </w:rPr>
              <w:t>pripreme tijekom 2017. godine, provedba 2018. godine i dalje kontinuirano</w:t>
            </w:r>
          </w:p>
          <w:p w:rsidR="00843197" w:rsidRPr="00150799" w:rsidRDefault="00843197" w:rsidP="00080D4A">
            <w:pPr>
              <w:widowControl w:val="0"/>
              <w:rPr>
                <w:sz w:val="22"/>
                <w:szCs w:val="22"/>
                <w:lang w:eastAsia="en-US"/>
              </w:rPr>
            </w:pPr>
          </w:p>
        </w:tc>
        <w:tc>
          <w:tcPr>
            <w:tcW w:w="1912"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widowControl w:val="0"/>
              <w:rPr>
                <w:rFonts w:cstheme="minorBidi"/>
                <w:sz w:val="22"/>
                <w:szCs w:val="22"/>
              </w:rPr>
            </w:pPr>
            <w:r w:rsidRPr="00150799">
              <w:rPr>
                <w:rFonts w:eastAsia="Calibri"/>
                <w:sz w:val="22"/>
                <w:szCs w:val="22"/>
              </w:rPr>
              <w:t xml:space="preserve"> </w:t>
            </w:r>
          </w:p>
          <w:p w:rsidR="00843197" w:rsidRPr="00150799" w:rsidRDefault="00843197" w:rsidP="00080D4A">
            <w:pPr>
              <w:rPr>
                <w:sz w:val="22"/>
                <w:szCs w:val="22"/>
                <w:lang w:eastAsia="en-US"/>
              </w:rPr>
            </w:pPr>
            <w:r w:rsidRPr="00150799">
              <w:rPr>
                <w:sz w:val="22"/>
                <w:szCs w:val="22"/>
                <w:lang w:eastAsia="en-US"/>
              </w:rPr>
              <w:t>Ministarstvo zdravstva u okviru sredstava navedenih pod Ciljem 1.</w:t>
            </w:r>
          </w:p>
        </w:tc>
      </w:tr>
      <w:tr w:rsidR="00843197" w:rsidRPr="00150799"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tcPr>
          <w:p w:rsidR="00843197" w:rsidRPr="00150799" w:rsidRDefault="00843197" w:rsidP="00080D4A">
            <w:pPr>
              <w:rPr>
                <w:b/>
                <w:sz w:val="22"/>
                <w:szCs w:val="22"/>
              </w:rPr>
            </w:pPr>
            <w:r w:rsidRPr="00150799">
              <w:rPr>
                <w:b/>
                <w:sz w:val="22"/>
                <w:szCs w:val="22"/>
              </w:rPr>
              <w:t>Indikatori</w:t>
            </w:r>
          </w:p>
          <w:p w:rsidR="00843197" w:rsidRPr="00150799" w:rsidRDefault="00843197" w:rsidP="00080D4A">
            <w:pPr>
              <w:rPr>
                <w:sz w:val="22"/>
                <w:szCs w:val="22"/>
                <w:lang w:eastAsia="en-US"/>
              </w:rPr>
            </w:pPr>
          </w:p>
        </w:tc>
        <w:tc>
          <w:tcPr>
            <w:tcW w:w="8874" w:type="dxa"/>
            <w:gridSpan w:val="3"/>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jc w:val="both"/>
              <w:rPr>
                <w:b/>
                <w:snapToGrid w:val="0"/>
                <w:sz w:val="22"/>
                <w:szCs w:val="22"/>
              </w:rPr>
            </w:pPr>
            <w:r w:rsidRPr="00150799">
              <w:rPr>
                <w:snapToGrid w:val="0"/>
                <w:sz w:val="22"/>
                <w:szCs w:val="22"/>
              </w:rPr>
              <w:t xml:space="preserve"> </w:t>
            </w:r>
            <w:r w:rsidRPr="00150799">
              <w:rPr>
                <w:b/>
                <w:snapToGrid w:val="0"/>
                <w:sz w:val="22"/>
                <w:szCs w:val="22"/>
              </w:rPr>
              <w:t>I</w:t>
            </w:r>
            <w:r w:rsidRPr="00150799">
              <w:rPr>
                <w:b/>
                <w:sz w:val="22"/>
                <w:szCs w:val="22"/>
              </w:rPr>
              <w:t xml:space="preserve">ndikatori provedbe: </w:t>
            </w:r>
          </w:p>
          <w:p w:rsidR="00843197" w:rsidRPr="00150799" w:rsidRDefault="00843197" w:rsidP="00080D4A">
            <w:pPr>
              <w:rPr>
                <w:sz w:val="22"/>
                <w:szCs w:val="22"/>
              </w:rPr>
            </w:pPr>
            <w:r w:rsidRPr="00150799">
              <w:rPr>
                <w:sz w:val="22"/>
                <w:szCs w:val="22"/>
              </w:rPr>
              <w:t xml:space="preserve">• izviješća o bolničkim infekcijama </w:t>
            </w:r>
          </w:p>
          <w:p w:rsidR="00843197" w:rsidRPr="00150799" w:rsidRDefault="00843197" w:rsidP="00080D4A">
            <w:pPr>
              <w:rPr>
                <w:b/>
                <w:sz w:val="22"/>
                <w:szCs w:val="22"/>
              </w:rPr>
            </w:pPr>
            <w:r w:rsidRPr="00150799">
              <w:rPr>
                <w:b/>
                <w:sz w:val="22"/>
                <w:szCs w:val="22"/>
              </w:rPr>
              <w:t xml:space="preserve"> Indikatori uspješnosti</w:t>
            </w:r>
          </w:p>
          <w:p w:rsidR="00843197" w:rsidRPr="00150799" w:rsidRDefault="00843197" w:rsidP="00080D4A">
            <w:pPr>
              <w:rPr>
                <w:snapToGrid w:val="0"/>
                <w:sz w:val="22"/>
                <w:szCs w:val="22"/>
              </w:rPr>
            </w:pPr>
            <w:r w:rsidRPr="00150799">
              <w:rPr>
                <w:sz w:val="22"/>
                <w:szCs w:val="22"/>
              </w:rPr>
              <w:t>•</w:t>
            </w:r>
            <w:r w:rsidRPr="00150799">
              <w:rPr>
                <w:snapToGrid w:val="0"/>
                <w:sz w:val="22"/>
                <w:szCs w:val="22"/>
              </w:rPr>
              <w:t xml:space="preserve"> smanjenje ili stagniranje potrošnje antibiotika u bolnicama</w:t>
            </w:r>
          </w:p>
          <w:p w:rsidR="00843197" w:rsidRPr="00150799" w:rsidRDefault="00843197" w:rsidP="00080D4A">
            <w:pPr>
              <w:rPr>
                <w:sz w:val="22"/>
                <w:szCs w:val="22"/>
                <w:lang w:eastAsia="en-US"/>
              </w:rPr>
            </w:pPr>
            <w:r w:rsidRPr="00150799">
              <w:rPr>
                <w:sz w:val="22"/>
                <w:szCs w:val="22"/>
              </w:rPr>
              <w:t>•</w:t>
            </w:r>
            <w:r w:rsidRPr="00150799">
              <w:rPr>
                <w:snapToGrid w:val="0"/>
                <w:sz w:val="22"/>
                <w:szCs w:val="22"/>
              </w:rPr>
              <w:t xml:space="preserve"> pomak potrošnje antibiotika prema uskospektralnim antibioticima</w:t>
            </w: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pStyle w:val="Tekstkomentara"/>
              <w:rPr>
                <w:b/>
                <w:sz w:val="22"/>
                <w:szCs w:val="22"/>
              </w:rPr>
            </w:pPr>
          </w:p>
          <w:p w:rsidR="00843197" w:rsidRDefault="00843197" w:rsidP="00080D4A">
            <w:pPr>
              <w:jc w:val="both"/>
              <w:rPr>
                <w:b/>
                <w:snapToGrid w:val="0"/>
                <w:sz w:val="22"/>
                <w:szCs w:val="22"/>
              </w:rPr>
            </w:pPr>
            <w:r>
              <w:rPr>
                <w:b/>
                <w:sz w:val="22"/>
                <w:szCs w:val="22"/>
              </w:rPr>
              <w:t xml:space="preserve">Cilj 4. Optimizirati primjenu antimikrobnih lijekova u </w:t>
            </w:r>
            <w:r w:rsidRPr="00F430A9">
              <w:rPr>
                <w:b/>
                <w:sz w:val="22"/>
                <w:szCs w:val="22"/>
              </w:rPr>
              <w:t xml:space="preserve">humanoj </w:t>
            </w:r>
            <w:r>
              <w:rPr>
                <w:b/>
                <w:sz w:val="22"/>
                <w:szCs w:val="22"/>
              </w:rPr>
              <w:t xml:space="preserve"> medicini </w:t>
            </w:r>
            <w:r>
              <w:rPr>
                <w:b/>
                <w:snapToGrid w:val="0"/>
                <w:sz w:val="22"/>
                <w:szCs w:val="22"/>
              </w:rPr>
              <w:t xml:space="preserve">kroz pravne regulative </w:t>
            </w:r>
          </w:p>
          <w:p w:rsidR="00843197" w:rsidRDefault="00843197" w:rsidP="00080D4A">
            <w:pPr>
              <w:jc w:val="both"/>
              <w:rPr>
                <w:snapToGrid w:val="0"/>
                <w:sz w:val="20"/>
                <w:szCs w:val="20"/>
              </w:rPr>
            </w:pPr>
            <w:r>
              <w:rPr>
                <w:snapToGrid w:val="0"/>
              </w:rPr>
              <w:t>(</w:t>
            </w:r>
            <w:r>
              <w:rPr>
                <w:snapToGrid w:val="0"/>
                <w:sz w:val="20"/>
                <w:szCs w:val="20"/>
              </w:rPr>
              <w:t>u skladu s Globalnim akcijskim planom SZO, cilj 4)</w:t>
            </w:r>
          </w:p>
          <w:p w:rsidR="00843197" w:rsidRDefault="00843197" w:rsidP="00080D4A">
            <w:pPr>
              <w:jc w:val="both"/>
              <w:rPr>
                <w:b/>
                <w:sz w:val="22"/>
                <w:szCs w:val="22"/>
              </w:rPr>
            </w:pPr>
          </w:p>
        </w:tc>
      </w:tr>
      <w:tr w:rsidR="00843197" w:rsidRPr="000E47D0"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843197" w:rsidRPr="000E47D0" w:rsidRDefault="00843197" w:rsidP="00080D4A">
            <w:pPr>
              <w:widowControl w:val="0"/>
              <w:tabs>
                <w:tab w:val="left" w:pos="0"/>
              </w:tabs>
              <w:rPr>
                <w:snapToGrid w:val="0"/>
                <w:sz w:val="22"/>
                <w:szCs w:val="22"/>
              </w:rPr>
            </w:pPr>
            <w:r>
              <w:rPr>
                <w:b/>
                <w:sz w:val="22"/>
                <w:szCs w:val="22"/>
              </w:rPr>
              <w:t>Nositelj</w:t>
            </w:r>
            <w:r w:rsidRPr="000E47D0">
              <w:rPr>
                <w:b/>
                <w:sz w:val="22"/>
                <w:szCs w:val="22"/>
              </w:rPr>
              <w:t xml:space="preserve">: </w:t>
            </w:r>
            <w:r w:rsidRPr="000E47D0">
              <w:rPr>
                <w:snapToGrid w:val="0"/>
                <w:sz w:val="22"/>
                <w:szCs w:val="22"/>
              </w:rPr>
              <w:t xml:space="preserve"> </w:t>
            </w:r>
            <w:r>
              <w:rPr>
                <w:snapToGrid w:val="0"/>
                <w:sz w:val="22"/>
                <w:szCs w:val="22"/>
              </w:rPr>
              <w:t>Ministarstvo zdravstva</w:t>
            </w:r>
            <w:r w:rsidRPr="000E47D0">
              <w:rPr>
                <w:snapToGrid w:val="0"/>
                <w:sz w:val="22"/>
                <w:szCs w:val="22"/>
              </w:rPr>
              <w:t xml:space="preserve">, </w:t>
            </w:r>
            <w:r>
              <w:rPr>
                <w:snapToGrid w:val="0"/>
                <w:sz w:val="22"/>
                <w:szCs w:val="22"/>
              </w:rPr>
              <w:t>Hrvatski zavod za zdravstvenu osiguranje</w:t>
            </w:r>
            <w:r w:rsidRPr="000E47D0">
              <w:rPr>
                <w:snapToGrid w:val="0"/>
                <w:sz w:val="22"/>
                <w:szCs w:val="22"/>
              </w:rPr>
              <w:t>, Agencija za lijekove i medicinske proizvode</w:t>
            </w:r>
          </w:p>
          <w:p w:rsidR="00843197" w:rsidRPr="000E47D0" w:rsidRDefault="00843197" w:rsidP="00080D4A">
            <w:pPr>
              <w:widowControl w:val="0"/>
              <w:tabs>
                <w:tab w:val="left" w:pos="0"/>
              </w:tabs>
              <w:rPr>
                <w:snapToGrid w:val="0"/>
                <w:sz w:val="22"/>
                <w:szCs w:val="22"/>
              </w:rPr>
            </w:pPr>
            <w:r w:rsidRPr="000E47D0">
              <w:rPr>
                <w:rFonts w:eastAsia="Calibri"/>
                <w:b/>
                <w:sz w:val="22"/>
                <w:szCs w:val="22"/>
              </w:rPr>
              <w:t>Suradnici u provedbi</w:t>
            </w:r>
            <w:r w:rsidRPr="000E47D0">
              <w:rPr>
                <w:rFonts w:eastAsia="Calibri"/>
                <w:sz w:val="22"/>
                <w:szCs w:val="22"/>
              </w:rPr>
              <w:t>:</w:t>
            </w:r>
            <w:r w:rsidRPr="000E47D0">
              <w:rPr>
                <w:sz w:val="22"/>
                <w:szCs w:val="22"/>
              </w:rPr>
              <w:t xml:space="preserve"> </w:t>
            </w:r>
            <w:r w:rsidRPr="000E47D0">
              <w:rPr>
                <w:snapToGrid w:val="0"/>
                <w:sz w:val="22"/>
                <w:szCs w:val="22"/>
              </w:rPr>
              <w:t>Akademija medicinskih znanosti Hrvatske, stručna društva Hrvatskog liječničkog zbora</w:t>
            </w:r>
            <w:r>
              <w:rPr>
                <w:snapToGrid w:val="0"/>
              </w:rPr>
              <w:t xml:space="preserve"> </w:t>
            </w:r>
            <w:r>
              <w:rPr>
                <w:snapToGrid w:val="0"/>
                <w:sz w:val="20"/>
                <w:szCs w:val="20"/>
              </w:rPr>
              <w:t xml:space="preserve"> </w:t>
            </w:r>
          </w:p>
        </w:tc>
      </w:tr>
      <w:tr w:rsidR="00843197"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Rok provedbe</w:t>
            </w:r>
          </w:p>
        </w:tc>
        <w:tc>
          <w:tcPr>
            <w:tcW w:w="454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Aktivnosti</w:t>
            </w:r>
          </w:p>
        </w:tc>
        <w:tc>
          <w:tcPr>
            <w:tcW w:w="242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Plan implementacije zadatka</w:t>
            </w:r>
          </w:p>
        </w:tc>
        <w:tc>
          <w:tcPr>
            <w:tcW w:w="1912"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rPr>
            </w:pPr>
            <w:r>
              <w:rPr>
                <w:b/>
                <w:sz w:val="20"/>
                <w:szCs w:val="20"/>
              </w:rPr>
              <w:t>Aktivnost/pozicija/račun</w:t>
            </w:r>
          </w:p>
          <w:p w:rsidR="00843197" w:rsidRDefault="00843197" w:rsidP="00080D4A">
            <w:pPr>
              <w:jc w:val="center"/>
              <w:rPr>
                <w:b/>
                <w:sz w:val="20"/>
                <w:szCs w:val="20"/>
                <w:lang w:eastAsia="en-US"/>
              </w:rPr>
            </w:pPr>
            <w:r>
              <w:rPr>
                <w:b/>
                <w:sz w:val="20"/>
                <w:szCs w:val="20"/>
              </w:rPr>
              <w:t>Iznos financijskih sredstava</w:t>
            </w:r>
          </w:p>
        </w:tc>
      </w:tr>
      <w:tr w:rsidR="00843197" w:rsidRPr="00150799" w:rsidTr="00080D4A">
        <w:trPr>
          <w:trHeight w:val="1217"/>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rPr>
                <w:sz w:val="22"/>
                <w:szCs w:val="22"/>
                <w:lang w:eastAsia="en-US"/>
              </w:rPr>
            </w:pPr>
            <w:r w:rsidRPr="00150799">
              <w:rPr>
                <w:sz w:val="22"/>
                <w:szCs w:val="22"/>
              </w:rPr>
              <w:t>2017.- 2021.</w:t>
            </w:r>
          </w:p>
        </w:tc>
        <w:tc>
          <w:tcPr>
            <w:tcW w:w="4541" w:type="dxa"/>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pStyle w:val="Odlomakpopisa"/>
              <w:widowControl w:val="0"/>
              <w:numPr>
                <w:ilvl w:val="0"/>
                <w:numId w:val="20"/>
              </w:numPr>
              <w:ind w:left="172" w:firstLine="0"/>
              <w:contextualSpacing/>
              <w:rPr>
                <w:snapToGrid w:val="0"/>
                <w:sz w:val="22"/>
                <w:szCs w:val="22"/>
              </w:rPr>
            </w:pPr>
            <w:r w:rsidRPr="00150799">
              <w:rPr>
                <w:snapToGrid w:val="0"/>
                <w:sz w:val="22"/>
                <w:szCs w:val="22"/>
              </w:rPr>
              <w:t>Revidiranje  liste lijekova HZZO –a</w:t>
            </w:r>
          </w:p>
          <w:p w:rsidR="00843197" w:rsidRPr="00150799" w:rsidRDefault="00843197" w:rsidP="00080D4A">
            <w:pPr>
              <w:pStyle w:val="Odlomakpopisa"/>
              <w:widowControl w:val="0"/>
              <w:numPr>
                <w:ilvl w:val="0"/>
                <w:numId w:val="20"/>
              </w:numPr>
              <w:ind w:left="172" w:firstLine="0"/>
              <w:contextualSpacing/>
              <w:rPr>
                <w:snapToGrid w:val="0"/>
                <w:sz w:val="22"/>
                <w:szCs w:val="22"/>
                <w:lang w:eastAsia="en-US"/>
              </w:rPr>
            </w:pPr>
            <w:r w:rsidRPr="00150799">
              <w:rPr>
                <w:snapToGrid w:val="0"/>
                <w:sz w:val="22"/>
                <w:szCs w:val="22"/>
              </w:rPr>
              <w:t xml:space="preserve">Promoviranje programa rukovođenja antimikrobnom terapijom </w:t>
            </w:r>
          </w:p>
          <w:p w:rsidR="00843197" w:rsidRPr="00150799" w:rsidRDefault="00843197" w:rsidP="00080D4A">
            <w:pPr>
              <w:pStyle w:val="Odlomakpopisa"/>
              <w:widowControl w:val="0"/>
              <w:numPr>
                <w:ilvl w:val="0"/>
                <w:numId w:val="20"/>
              </w:numPr>
              <w:ind w:left="172" w:firstLine="0"/>
              <w:contextualSpacing/>
              <w:rPr>
                <w:snapToGrid w:val="0"/>
                <w:sz w:val="22"/>
                <w:szCs w:val="22"/>
                <w:lang w:eastAsia="en-US"/>
              </w:rPr>
            </w:pPr>
            <w:r w:rsidRPr="00150799">
              <w:rPr>
                <w:sz w:val="22"/>
                <w:szCs w:val="22"/>
              </w:rPr>
              <w:t>Upravljanje  antimikrobnom terapijom u bolnicama</w:t>
            </w:r>
          </w:p>
        </w:tc>
        <w:tc>
          <w:tcPr>
            <w:tcW w:w="2421"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widowControl w:val="0"/>
              <w:rPr>
                <w:rFonts w:asciiTheme="minorHAnsi" w:hAnsiTheme="minorHAnsi" w:cstheme="minorBidi"/>
                <w:i/>
                <w:snapToGrid w:val="0"/>
                <w:sz w:val="22"/>
                <w:szCs w:val="22"/>
              </w:rPr>
            </w:pPr>
            <w:r w:rsidRPr="00150799">
              <w:rPr>
                <w:rFonts w:cstheme="minorBidi"/>
                <w:snapToGrid w:val="0"/>
                <w:sz w:val="22"/>
                <w:szCs w:val="22"/>
              </w:rPr>
              <w:t>pripreme tijekom 2017. godine, provedba 2018. godine i dalje kontinuirano</w:t>
            </w:r>
          </w:p>
          <w:p w:rsidR="00843197" w:rsidRPr="00150799" w:rsidRDefault="00843197" w:rsidP="00080D4A">
            <w:pPr>
              <w:widowControl w:val="0"/>
              <w:rPr>
                <w:sz w:val="22"/>
                <w:szCs w:val="22"/>
                <w:lang w:eastAsia="en-US"/>
              </w:rPr>
            </w:pPr>
          </w:p>
        </w:tc>
        <w:tc>
          <w:tcPr>
            <w:tcW w:w="1912"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rPr>
                <w:rFonts w:eastAsiaTheme="minorHAnsi"/>
                <w:sz w:val="22"/>
                <w:szCs w:val="22"/>
                <w:lang w:eastAsia="en-US"/>
              </w:rPr>
            </w:pPr>
            <w:r w:rsidRPr="00150799">
              <w:rPr>
                <w:sz w:val="22"/>
                <w:szCs w:val="22"/>
                <w:lang w:eastAsia="en-US"/>
              </w:rPr>
              <w:t xml:space="preserve">Hrvatski zavod za zdravstveno osiguranje u okviru sredstava za redovne aktivnosti </w:t>
            </w:r>
            <w:r w:rsidR="003C726E">
              <w:rPr>
                <w:sz w:val="22"/>
                <w:szCs w:val="22"/>
                <w:lang w:eastAsia="en-US"/>
              </w:rPr>
              <w:t xml:space="preserve">          </w:t>
            </w:r>
            <w:r w:rsidRPr="00150799">
              <w:rPr>
                <w:sz w:val="22"/>
                <w:szCs w:val="22"/>
                <w:lang w:eastAsia="en-US"/>
              </w:rPr>
              <w:t>(</w:t>
            </w:r>
            <w:r w:rsidRPr="00150799">
              <w:rPr>
                <w:sz w:val="22"/>
                <w:szCs w:val="22"/>
              </w:rPr>
              <w:t>A 1000 Zdravstvena zaštita obveznog zdravstvenog osiguranja i zaštita zdravlja na radu konto 371)</w:t>
            </w:r>
          </w:p>
          <w:p w:rsidR="00843197" w:rsidRPr="00150799" w:rsidRDefault="00843197" w:rsidP="00080D4A">
            <w:pPr>
              <w:widowControl w:val="0"/>
              <w:rPr>
                <w:sz w:val="22"/>
                <w:szCs w:val="22"/>
                <w:lang w:eastAsia="en-US"/>
              </w:rPr>
            </w:pPr>
          </w:p>
        </w:tc>
      </w:tr>
      <w:tr w:rsidR="00843197" w:rsidRPr="00150799"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tcPr>
          <w:p w:rsidR="00843197" w:rsidRPr="00150799" w:rsidRDefault="00843197" w:rsidP="00080D4A">
            <w:pPr>
              <w:rPr>
                <w:b/>
                <w:sz w:val="22"/>
                <w:szCs w:val="22"/>
              </w:rPr>
            </w:pPr>
            <w:r w:rsidRPr="00150799">
              <w:rPr>
                <w:b/>
                <w:sz w:val="22"/>
                <w:szCs w:val="22"/>
              </w:rPr>
              <w:t>Indikatori</w:t>
            </w:r>
          </w:p>
          <w:p w:rsidR="00843197" w:rsidRPr="00150799" w:rsidRDefault="00843197" w:rsidP="00080D4A">
            <w:pPr>
              <w:rPr>
                <w:sz w:val="22"/>
                <w:szCs w:val="22"/>
                <w:lang w:eastAsia="en-US"/>
              </w:rPr>
            </w:pPr>
          </w:p>
        </w:tc>
        <w:tc>
          <w:tcPr>
            <w:tcW w:w="8874" w:type="dxa"/>
            <w:gridSpan w:val="3"/>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jc w:val="both"/>
              <w:rPr>
                <w:snapToGrid w:val="0"/>
                <w:sz w:val="22"/>
                <w:szCs w:val="22"/>
              </w:rPr>
            </w:pPr>
            <w:r w:rsidRPr="00150799">
              <w:rPr>
                <w:b/>
                <w:snapToGrid w:val="0"/>
                <w:sz w:val="22"/>
                <w:szCs w:val="22"/>
              </w:rPr>
              <w:t>Indikatori</w:t>
            </w:r>
            <w:r w:rsidRPr="00150799">
              <w:rPr>
                <w:b/>
                <w:sz w:val="22"/>
                <w:szCs w:val="22"/>
              </w:rPr>
              <w:t xml:space="preserve"> provedbe </w:t>
            </w:r>
          </w:p>
          <w:p w:rsidR="00843197" w:rsidRPr="00150799" w:rsidRDefault="00843197" w:rsidP="00080D4A">
            <w:pPr>
              <w:rPr>
                <w:sz w:val="22"/>
                <w:szCs w:val="22"/>
              </w:rPr>
            </w:pPr>
            <w:r w:rsidRPr="00150799">
              <w:rPr>
                <w:sz w:val="22"/>
                <w:szCs w:val="22"/>
              </w:rPr>
              <w:t xml:space="preserve">•  revidirana lista lijekova HZZO-a </w:t>
            </w:r>
          </w:p>
          <w:p w:rsidR="00843197" w:rsidRPr="00150799" w:rsidRDefault="00843197" w:rsidP="00080D4A">
            <w:pPr>
              <w:jc w:val="both"/>
              <w:rPr>
                <w:rFonts w:asciiTheme="minorHAnsi" w:hAnsiTheme="minorHAnsi" w:cstheme="minorBidi"/>
                <w:snapToGrid w:val="0"/>
                <w:sz w:val="22"/>
                <w:szCs w:val="22"/>
              </w:rPr>
            </w:pPr>
            <w:r w:rsidRPr="00150799">
              <w:rPr>
                <w:b/>
                <w:sz w:val="22"/>
                <w:szCs w:val="22"/>
              </w:rPr>
              <w:t>Indikatori uspješnosti</w:t>
            </w:r>
          </w:p>
          <w:p w:rsidR="00843197" w:rsidRPr="00150799" w:rsidRDefault="00843197" w:rsidP="00080D4A">
            <w:pPr>
              <w:rPr>
                <w:sz w:val="22"/>
                <w:szCs w:val="22"/>
                <w:lang w:eastAsia="en-US"/>
              </w:rPr>
            </w:pPr>
            <w:r w:rsidRPr="00150799">
              <w:rPr>
                <w:sz w:val="22"/>
                <w:szCs w:val="22"/>
              </w:rPr>
              <w:t>•</w:t>
            </w:r>
            <w:r w:rsidRPr="00150799">
              <w:rPr>
                <w:snapToGrid w:val="0"/>
                <w:sz w:val="22"/>
                <w:szCs w:val="22"/>
              </w:rPr>
              <w:t xml:space="preserve">  promoviran program rukovođenja antimikrobnom terapijom</w:t>
            </w: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jc w:val="both"/>
              <w:rPr>
                <w:rFonts w:cstheme="minorBidi"/>
                <w:b/>
                <w:sz w:val="20"/>
                <w:szCs w:val="20"/>
              </w:rPr>
            </w:pPr>
          </w:p>
          <w:p w:rsidR="00843197" w:rsidRDefault="00843197" w:rsidP="00080D4A">
            <w:pPr>
              <w:jc w:val="both"/>
              <w:rPr>
                <w:b/>
                <w:snapToGrid w:val="0"/>
              </w:rPr>
            </w:pPr>
            <w:r>
              <w:rPr>
                <w:b/>
                <w:snapToGrid w:val="0"/>
              </w:rPr>
              <w:t xml:space="preserve">Mjera 2. : KONTROLA ŠIRENJA OTPORNOSTI BAKTERIJA NA ANTIBIOTIKE  U </w:t>
            </w:r>
          </w:p>
          <w:p w:rsidR="00843197" w:rsidRDefault="00843197" w:rsidP="00080D4A">
            <w:pPr>
              <w:jc w:val="both"/>
              <w:rPr>
                <w:b/>
              </w:rPr>
            </w:pPr>
            <w:r>
              <w:rPr>
                <w:b/>
                <w:snapToGrid w:val="0"/>
              </w:rPr>
              <w:t xml:space="preserve">                 PODRUČJU VETERINARSKE  MEDICINE</w:t>
            </w:r>
          </w:p>
          <w:p w:rsidR="00843197" w:rsidRDefault="00843197" w:rsidP="00080D4A">
            <w:pPr>
              <w:jc w:val="both"/>
              <w:rPr>
                <w:rFonts w:asciiTheme="minorHAnsi" w:hAnsiTheme="minorHAnsi" w:cstheme="minorBidi"/>
                <w:b/>
                <w:sz w:val="20"/>
                <w:szCs w:val="20"/>
              </w:rPr>
            </w:pPr>
          </w:p>
          <w:p w:rsidR="00843197" w:rsidRPr="00677C3D" w:rsidRDefault="00843197" w:rsidP="00080D4A">
            <w:pPr>
              <w:pStyle w:val="Tekstkomentara"/>
              <w:rPr>
                <w:b/>
                <w:sz w:val="24"/>
                <w:szCs w:val="24"/>
              </w:rPr>
            </w:pPr>
            <w:r w:rsidRPr="00677C3D">
              <w:rPr>
                <w:b/>
                <w:sz w:val="24"/>
                <w:szCs w:val="24"/>
              </w:rPr>
              <w:t xml:space="preserve">Nositelj: </w:t>
            </w:r>
            <w:r w:rsidRPr="006A3DC6">
              <w:rPr>
                <w:sz w:val="24"/>
                <w:szCs w:val="24"/>
              </w:rPr>
              <w:t>Ministarstvo poljoprivrede</w:t>
            </w:r>
          </w:p>
          <w:p w:rsidR="00843197" w:rsidRDefault="00843197" w:rsidP="00080D4A">
            <w:pPr>
              <w:widowControl w:val="0"/>
              <w:tabs>
                <w:tab w:val="left" w:pos="0"/>
              </w:tabs>
              <w:rPr>
                <w:snapToGrid w:val="0"/>
                <w:sz w:val="22"/>
                <w:szCs w:val="22"/>
                <w:lang w:eastAsia="en-US"/>
              </w:rPr>
            </w:pPr>
            <w:r w:rsidRPr="00677C3D">
              <w:rPr>
                <w:rFonts w:eastAsia="Calibri"/>
                <w:b/>
              </w:rPr>
              <w:t>Suradnici u provedbi</w:t>
            </w:r>
            <w:r w:rsidRPr="00677C3D">
              <w:rPr>
                <w:rFonts w:eastAsia="Calibri"/>
              </w:rPr>
              <w:t>:</w:t>
            </w:r>
            <w:r w:rsidRPr="00677C3D">
              <w:t xml:space="preserve"> </w:t>
            </w:r>
            <w:r w:rsidRPr="00677C3D">
              <w:rPr>
                <w:snapToGrid w:val="0"/>
              </w:rPr>
              <w:t xml:space="preserve">Hrvatski veterinarski institut, </w:t>
            </w:r>
            <w:r>
              <w:rPr>
                <w:snapToGrid w:val="0"/>
              </w:rPr>
              <w:t>o</w:t>
            </w:r>
            <w:r w:rsidRPr="00677C3D">
              <w:rPr>
                <w:snapToGrid w:val="0"/>
              </w:rPr>
              <w:t>vlaštene veterinarske organizacije</w:t>
            </w:r>
          </w:p>
        </w:tc>
      </w:tr>
      <w:tr w:rsidR="0084319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pStyle w:val="Tekstkomentara"/>
              <w:rPr>
                <w:b/>
                <w:sz w:val="22"/>
                <w:szCs w:val="22"/>
              </w:rPr>
            </w:pPr>
          </w:p>
          <w:p w:rsidR="00843197" w:rsidRDefault="00843197" w:rsidP="00080D4A">
            <w:pPr>
              <w:jc w:val="both"/>
              <w:rPr>
                <w:snapToGrid w:val="0"/>
                <w:sz w:val="20"/>
                <w:szCs w:val="20"/>
              </w:rPr>
            </w:pPr>
            <w:r>
              <w:rPr>
                <w:b/>
                <w:sz w:val="22"/>
                <w:szCs w:val="22"/>
              </w:rPr>
              <w:t xml:space="preserve">Cilj 1. Optimizirati primjenu antimikrobnih lijekova </w:t>
            </w:r>
            <w:r w:rsidRPr="00F430A9">
              <w:rPr>
                <w:b/>
                <w:sz w:val="22"/>
                <w:szCs w:val="22"/>
              </w:rPr>
              <w:t>u  veterinarskoj</w:t>
            </w:r>
            <w:r>
              <w:rPr>
                <w:b/>
                <w:sz w:val="22"/>
                <w:szCs w:val="22"/>
              </w:rPr>
              <w:t xml:space="preserve"> medicini </w:t>
            </w:r>
            <w:r>
              <w:rPr>
                <w:b/>
                <w:snapToGrid w:val="0"/>
                <w:sz w:val="22"/>
                <w:szCs w:val="22"/>
              </w:rPr>
              <w:t xml:space="preserve">kroz pravne regulative </w:t>
            </w:r>
            <w:r>
              <w:rPr>
                <w:snapToGrid w:val="0"/>
              </w:rPr>
              <w:t>(</w:t>
            </w:r>
            <w:r>
              <w:rPr>
                <w:snapToGrid w:val="0"/>
                <w:sz w:val="20"/>
                <w:szCs w:val="20"/>
              </w:rPr>
              <w:t>u skladu s Globalnim akcijskim planom SZO, cilj 4)</w:t>
            </w:r>
          </w:p>
          <w:p w:rsidR="00843197" w:rsidRDefault="00843197" w:rsidP="00080D4A">
            <w:pPr>
              <w:pStyle w:val="Tekstkomentara"/>
              <w:rPr>
                <w:b/>
                <w:sz w:val="22"/>
                <w:szCs w:val="22"/>
              </w:rPr>
            </w:pPr>
          </w:p>
        </w:tc>
      </w:tr>
      <w:tr w:rsidR="00843197"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Rok provedbe</w:t>
            </w:r>
          </w:p>
        </w:tc>
        <w:tc>
          <w:tcPr>
            <w:tcW w:w="454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Aktivnosti</w:t>
            </w:r>
          </w:p>
        </w:tc>
        <w:tc>
          <w:tcPr>
            <w:tcW w:w="242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Plan implementacije zadatka</w:t>
            </w:r>
          </w:p>
        </w:tc>
        <w:tc>
          <w:tcPr>
            <w:tcW w:w="1912" w:type="dxa"/>
            <w:tcBorders>
              <w:top w:val="double" w:sz="4" w:space="0" w:color="auto"/>
              <w:left w:val="double" w:sz="4" w:space="0" w:color="auto"/>
              <w:bottom w:val="double" w:sz="4" w:space="0" w:color="auto"/>
              <w:right w:val="double" w:sz="4" w:space="0" w:color="auto"/>
            </w:tcBorders>
            <w:hideMark/>
          </w:tcPr>
          <w:p w:rsidR="00843197" w:rsidRPr="00FB55A6" w:rsidRDefault="00843197" w:rsidP="00080D4A">
            <w:pPr>
              <w:jc w:val="center"/>
              <w:rPr>
                <w:b/>
                <w:sz w:val="22"/>
                <w:szCs w:val="22"/>
              </w:rPr>
            </w:pPr>
            <w:r w:rsidRPr="00FB55A6">
              <w:rPr>
                <w:b/>
                <w:sz w:val="22"/>
                <w:szCs w:val="22"/>
              </w:rPr>
              <w:t>Aktivnost/pozicija/račun -</w:t>
            </w:r>
          </w:p>
          <w:p w:rsidR="00843197" w:rsidRPr="00FB55A6" w:rsidRDefault="00843197" w:rsidP="00080D4A">
            <w:pPr>
              <w:jc w:val="center"/>
              <w:rPr>
                <w:b/>
                <w:sz w:val="22"/>
                <w:szCs w:val="22"/>
                <w:lang w:eastAsia="en-US"/>
              </w:rPr>
            </w:pPr>
            <w:r w:rsidRPr="00FB55A6">
              <w:rPr>
                <w:b/>
                <w:sz w:val="22"/>
                <w:szCs w:val="22"/>
              </w:rPr>
              <w:t>Iznos financijskih sredstava</w:t>
            </w:r>
          </w:p>
        </w:tc>
      </w:tr>
      <w:tr w:rsidR="00843197" w:rsidRPr="00150799"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rPr>
                <w:sz w:val="22"/>
                <w:szCs w:val="22"/>
                <w:lang w:eastAsia="en-US"/>
              </w:rPr>
            </w:pPr>
            <w:r w:rsidRPr="00150799">
              <w:rPr>
                <w:sz w:val="22"/>
                <w:szCs w:val="22"/>
              </w:rPr>
              <w:t>2017. -2021.</w:t>
            </w:r>
          </w:p>
        </w:tc>
        <w:tc>
          <w:tcPr>
            <w:tcW w:w="4541" w:type="dxa"/>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Provedba uzorkovanja na razini primarne proizvodnje</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Laboratorijska dijagnostika</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Prikupljanje i analiza podataka o otpornosti na antibiotike</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Provođenje kontrole kvalitete provedbe propisanih programa</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Sudjelovanje u izradi nacionalnih smjernica o uporabi antibiotika u veterinarskoj medicini</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z w:val="22"/>
                <w:szCs w:val="22"/>
              </w:rPr>
              <w:t>Suradnja s Europskom komisijom</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Prikupljanje i analiza podataka o potrošnji antibiotika</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Izrada godišnjeg izvješća</w:t>
            </w:r>
          </w:p>
          <w:p w:rsidR="00843197" w:rsidRPr="00150799" w:rsidRDefault="00843197" w:rsidP="00080D4A">
            <w:pPr>
              <w:pStyle w:val="Odlomakpopisa"/>
              <w:widowControl w:val="0"/>
              <w:numPr>
                <w:ilvl w:val="0"/>
                <w:numId w:val="21"/>
              </w:numPr>
              <w:ind w:left="172" w:firstLine="0"/>
              <w:contextualSpacing/>
              <w:rPr>
                <w:sz w:val="22"/>
                <w:szCs w:val="22"/>
              </w:rPr>
            </w:pPr>
            <w:r w:rsidRPr="00150799">
              <w:rPr>
                <w:snapToGrid w:val="0"/>
                <w:sz w:val="22"/>
                <w:szCs w:val="22"/>
              </w:rPr>
              <w:t xml:space="preserve">Sudjelovanje u radu Radne grupe za antimikrobnu rezistenciju Europske komisije i Svjetske organizacije za zdravlje životinja </w:t>
            </w:r>
          </w:p>
          <w:p w:rsidR="00843197" w:rsidRPr="00150799" w:rsidRDefault="00843197" w:rsidP="00080D4A">
            <w:pPr>
              <w:pStyle w:val="Odlomakpopisa"/>
              <w:widowControl w:val="0"/>
              <w:ind w:left="720"/>
              <w:contextualSpacing/>
              <w:rPr>
                <w:sz w:val="22"/>
                <w:szCs w:val="22"/>
              </w:rPr>
            </w:pPr>
          </w:p>
        </w:tc>
        <w:tc>
          <w:tcPr>
            <w:tcW w:w="2421"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widowControl w:val="0"/>
              <w:rPr>
                <w:rFonts w:cstheme="minorBidi"/>
                <w:snapToGrid w:val="0"/>
                <w:sz w:val="22"/>
                <w:szCs w:val="22"/>
              </w:rPr>
            </w:pPr>
            <w:r w:rsidRPr="00150799">
              <w:rPr>
                <w:rFonts w:cstheme="minorBidi"/>
                <w:snapToGrid w:val="0"/>
                <w:sz w:val="22"/>
                <w:szCs w:val="22"/>
              </w:rPr>
              <w:t>pripreme tijekom 2017. godine, provedba 2018. godine i dalje kontinuirano</w:t>
            </w:r>
          </w:p>
          <w:p w:rsidR="00843197" w:rsidRPr="00150799" w:rsidRDefault="00843197" w:rsidP="00080D4A">
            <w:pPr>
              <w:widowControl w:val="0"/>
              <w:rPr>
                <w:i/>
                <w:snapToGrid w:val="0"/>
                <w:sz w:val="22"/>
                <w:szCs w:val="22"/>
              </w:rPr>
            </w:pPr>
          </w:p>
          <w:p w:rsidR="00843197" w:rsidRPr="00150799" w:rsidRDefault="00843197" w:rsidP="00080D4A">
            <w:pPr>
              <w:widowControl w:val="0"/>
              <w:rPr>
                <w:sz w:val="22"/>
                <w:szCs w:val="22"/>
                <w:lang w:eastAsia="en-US"/>
              </w:rPr>
            </w:pPr>
          </w:p>
        </w:tc>
        <w:tc>
          <w:tcPr>
            <w:tcW w:w="1912" w:type="dxa"/>
            <w:tcBorders>
              <w:top w:val="double" w:sz="4" w:space="0" w:color="auto"/>
              <w:left w:val="double" w:sz="4" w:space="0" w:color="auto"/>
              <w:bottom w:val="double" w:sz="4" w:space="0" w:color="auto"/>
              <w:right w:val="double" w:sz="4" w:space="0" w:color="auto"/>
            </w:tcBorders>
          </w:tcPr>
          <w:p w:rsidR="00843197" w:rsidRPr="00150799" w:rsidRDefault="00843197" w:rsidP="00080D4A">
            <w:pPr>
              <w:widowControl w:val="0"/>
              <w:rPr>
                <w:sz w:val="22"/>
                <w:szCs w:val="22"/>
              </w:rPr>
            </w:pPr>
            <w:r w:rsidRPr="00150799">
              <w:rPr>
                <w:sz w:val="22"/>
                <w:szCs w:val="22"/>
              </w:rPr>
              <w:t>Ministarstvo poljoprivrede u planu proračuna za 2017. godinu na aktivnosti T819049 Nacionalni plan uzorkovanja hrane u svrhu mikrobiološkog ispitivanja, konto 3236 Zdravstvene i veterinarske usluge, u iznosu od 659.540,00 kn te u projekcijama proračuna za 2018. godinu u iznosu 659.540,00 kn i 2019. godini u istom iznosu, odnosno 659.540,00 kn.</w:t>
            </w:r>
          </w:p>
          <w:p w:rsidR="00843197" w:rsidRPr="00150799" w:rsidRDefault="00843197" w:rsidP="00080D4A">
            <w:pPr>
              <w:widowControl w:val="0"/>
              <w:rPr>
                <w:sz w:val="22"/>
                <w:szCs w:val="22"/>
              </w:rPr>
            </w:pPr>
            <w:r w:rsidRPr="00150799">
              <w:rPr>
                <w:sz w:val="22"/>
                <w:szCs w:val="22"/>
              </w:rPr>
              <w:t xml:space="preserve">A568001 Zdravstvena zaštita životinja, konto 3236 Zdravstvene i veterinarske usluge, osiguran  je iznos od  1.267.900,00 kn za 2017. godinu te je isti iznos od 1.267.900,00 kn planiran u projekcijama proračuna za 2018. te isti iznos za 2019. godinu i </w:t>
            </w:r>
          </w:p>
          <w:p w:rsidR="00843197" w:rsidRDefault="00843197" w:rsidP="00080D4A">
            <w:pPr>
              <w:widowControl w:val="0"/>
              <w:rPr>
                <w:sz w:val="22"/>
                <w:szCs w:val="22"/>
              </w:rPr>
            </w:pPr>
            <w:r w:rsidRPr="00150799">
              <w:rPr>
                <w:sz w:val="22"/>
                <w:szCs w:val="22"/>
              </w:rPr>
              <w:t>u okviru sredstava za redovne aktivnost (A568000 Administracija i upravljanje)</w:t>
            </w:r>
          </w:p>
          <w:p w:rsidR="00080D4A" w:rsidRPr="00150799" w:rsidRDefault="00080D4A" w:rsidP="00080D4A">
            <w:pPr>
              <w:widowControl w:val="0"/>
              <w:rPr>
                <w:sz w:val="22"/>
                <w:szCs w:val="22"/>
              </w:rPr>
            </w:pPr>
          </w:p>
          <w:p w:rsidR="00843197" w:rsidRPr="00150799" w:rsidRDefault="00843197" w:rsidP="00080D4A">
            <w:pPr>
              <w:widowControl w:val="0"/>
              <w:rPr>
                <w:sz w:val="22"/>
                <w:szCs w:val="22"/>
                <w:highlight w:val="yellow"/>
                <w:lang w:eastAsia="en-US"/>
              </w:rPr>
            </w:pPr>
          </w:p>
        </w:tc>
      </w:tr>
      <w:tr w:rsidR="00843197" w:rsidRPr="00150799"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tcPr>
          <w:p w:rsidR="00843197" w:rsidRPr="00150799" w:rsidRDefault="00843197" w:rsidP="00080D4A">
            <w:pPr>
              <w:rPr>
                <w:b/>
                <w:sz w:val="22"/>
                <w:szCs w:val="22"/>
              </w:rPr>
            </w:pPr>
            <w:r w:rsidRPr="00150799">
              <w:rPr>
                <w:b/>
                <w:sz w:val="22"/>
                <w:szCs w:val="22"/>
              </w:rPr>
              <w:t>Indikatori</w:t>
            </w:r>
          </w:p>
          <w:p w:rsidR="00843197" w:rsidRPr="00150799" w:rsidRDefault="00843197" w:rsidP="00080D4A">
            <w:pPr>
              <w:rPr>
                <w:sz w:val="22"/>
                <w:szCs w:val="22"/>
                <w:lang w:eastAsia="en-US"/>
              </w:rPr>
            </w:pPr>
          </w:p>
        </w:tc>
        <w:tc>
          <w:tcPr>
            <w:tcW w:w="8874" w:type="dxa"/>
            <w:gridSpan w:val="3"/>
            <w:tcBorders>
              <w:top w:val="double" w:sz="4" w:space="0" w:color="auto"/>
              <w:left w:val="double" w:sz="4" w:space="0" w:color="auto"/>
              <w:bottom w:val="double" w:sz="4" w:space="0" w:color="auto"/>
              <w:right w:val="double" w:sz="4" w:space="0" w:color="auto"/>
            </w:tcBorders>
            <w:hideMark/>
          </w:tcPr>
          <w:p w:rsidR="00843197" w:rsidRPr="00150799" w:rsidRDefault="00843197" w:rsidP="00080D4A">
            <w:pPr>
              <w:jc w:val="both"/>
              <w:rPr>
                <w:rFonts w:cstheme="minorBidi"/>
                <w:snapToGrid w:val="0"/>
                <w:sz w:val="22"/>
                <w:szCs w:val="22"/>
              </w:rPr>
            </w:pPr>
            <w:r w:rsidRPr="00150799">
              <w:rPr>
                <w:b/>
                <w:sz w:val="22"/>
                <w:szCs w:val="22"/>
              </w:rPr>
              <w:t>Indikatori  provedbe</w:t>
            </w:r>
          </w:p>
          <w:p w:rsidR="00843197" w:rsidRPr="00150799" w:rsidRDefault="00843197" w:rsidP="00080D4A">
            <w:pPr>
              <w:rPr>
                <w:snapToGrid w:val="0"/>
                <w:sz w:val="22"/>
                <w:szCs w:val="22"/>
              </w:rPr>
            </w:pPr>
            <w:r w:rsidRPr="00150799">
              <w:rPr>
                <w:sz w:val="22"/>
                <w:szCs w:val="22"/>
              </w:rPr>
              <w:t xml:space="preserve">• </w:t>
            </w:r>
            <w:r w:rsidRPr="00150799">
              <w:rPr>
                <w:snapToGrid w:val="0"/>
                <w:sz w:val="22"/>
                <w:szCs w:val="22"/>
              </w:rPr>
              <w:t xml:space="preserve"> godišnja izvješća o otpornosti bakterija na antibiotike</w:t>
            </w:r>
          </w:p>
          <w:p w:rsidR="00843197" w:rsidRPr="00150799" w:rsidRDefault="00843197" w:rsidP="00080D4A">
            <w:pPr>
              <w:rPr>
                <w:sz w:val="22"/>
                <w:szCs w:val="22"/>
              </w:rPr>
            </w:pPr>
            <w:r w:rsidRPr="00150799">
              <w:rPr>
                <w:sz w:val="22"/>
                <w:szCs w:val="22"/>
              </w:rPr>
              <w:t xml:space="preserve">•  </w:t>
            </w:r>
            <w:r w:rsidRPr="00150799">
              <w:rPr>
                <w:snapToGrid w:val="0"/>
                <w:sz w:val="22"/>
                <w:szCs w:val="22"/>
              </w:rPr>
              <w:t xml:space="preserve">godišnja izvješća o potrošnji antibiotika </w:t>
            </w:r>
            <w:r w:rsidRPr="00150799">
              <w:rPr>
                <w:sz w:val="22"/>
                <w:szCs w:val="22"/>
              </w:rPr>
              <w:t xml:space="preserve"> </w:t>
            </w:r>
          </w:p>
          <w:p w:rsidR="00843197" w:rsidRPr="00150799" w:rsidRDefault="00843197" w:rsidP="00080D4A">
            <w:pPr>
              <w:rPr>
                <w:b/>
                <w:sz w:val="22"/>
                <w:szCs w:val="22"/>
              </w:rPr>
            </w:pPr>
            <w:r w:rsidRPr="00150799">
              <w:rPr>
                <w:b/>
                <w:sz w:val="22"/>
                <w:szCs w:val="22"/>
              </w:rPr>
              <w:t xml:space="preserve">Indikatori  uspješnosti </w:t>
            </w:r>
          </w:p>
          <w:p w:rsidR="00843197" w:rsidRDefault="00843197" w:rsidP="00080D4A">
            <w:pPr>
              <w:rPr>
                <w:snapToGrid w:val="0"/>
                <w:sz w:val="22"/>
                <w:szCs w:val="22"/>
              </w:rPr>
            </w:pPr>
            <w:r w:rsidRPr="00150799">
              <w:rPr>
                <w:sz w:val="22"/>
                <w:szCs w:val="22"/>
              </w:rPr>
              <w:t xml:space="preserve">• </w:t>
            </w:r>
            <w:r w:rsidRPr="00150799">
              <w:rPr>
                <w:snapToGrid w:val="0"/>
                <w:sz w:val="22"/>
                <w:szCs w:val="22"/>
              </w:rPr>
              <w:t xml:space="preserve"> smanjenje ili stagniranje stopa otpornosti bakterija na antibiotike</w:t>
            </w:r>
          </w:p>
          <w:p w:rsidR="00080D4A" w:rsidRDefault="00080D4A" w:rsidP="00080D4A">
            <w:pPr>
              <w:rPr>
                <w:snapToGrid w:val="0"/>
                <w:sz w:val="22"/>
                <w:szCs w:val="22"/>
              </w:rPr>
            </w:pPr>
          </w:p>
          <w:p w:rsidR="00080D4A" w:rsidRDefault="00080D4A" w:rsidP="00080D4A">
            <w:pPr>
              <w:rPr>
                <w:snapToGrid w:val="0"/>
                <w:sz w:val="22"/>
                <w:szCs w:val="22"/>
              </w:rPr>
            </w:pPr>
          </w:p>
          <w:p w:rsidR="00080D4A" w:rsidRDefault="00080D4A" w:rsidP="00080D4A">
            <w:pPr>
              <w:rPr>
                <w:snapToGrid w:val="0"/>
                <w:sz w:val="22"/>
                <w:szCs w:val="22"/>
              </w:rPr>
            </w:pPr>
          </w:p>
          <w:p w:rsidR="00080D4A" w:rsidRDefault="00080D4A" w:rsidP="00080D4A">
            <w:pPr>
              <w:rPr>
                <w:snapToGrid w:val="0"/>
                <w:sz w:val="22"/>
                <w:szCs w:val="22"/>
              </w:rPr>
            </w:pPr>
          </w:p>
          <w:p w:rsidR="00080D4A" w:rsidRDefault="00080D4A" w:rsidP="00080D4A">
            <w:pPr>
              <w:rPr>
                <w:snapToGrid w:val="0"/>
                <w:sz w:val="22"/>
                <w:szCs w:val="22"/>
              </w:rPr>
            </w:pPr>
          </w:p>
          <w:p w:rsidR="00080D4A" w:rsidRDefault="00080D4A" w:rsidP="00080D4A">
            <w:pPr>
              <w:rPr>
                <w:snapToGrid w:val="0"/>
                <w:sz w:val="22"/>
                <w:szCs w:val="22"/>
              </w:rPr>
            </w:pPr>
          </w:p>
          <w:p w:rsidR="00080D4A" w:rsidRDefault="00080D4A" w:rsidP="00080D4A">
            <w:pPr>
              <w:rPr>
                <w:snapToGrid w:val="0"/>
                <w:sz w:val="22"/>
                <w:szCs w:val="22"/>
              </w:rPr>
            </w:pPr>
          </w:p>
          <w:p w:rsidR="00080D4A" w:rsidRPr="00150799" w:rsidRDefault="00080D4A" w:rsidP="00080D4A">
            <w:pPr>
              <w:rPr>
                <w:sz w:val="22"/>
                <w:szCs w:val="22"/>
              </w:rPr>
            </w:pPr>
          </w:p>
        </w:tc>
      </w:tr>
      <w:tr w:rsidR="00843197" w:rsidRPr="00D03C3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843197" w:rsidRPr="00D03C37" w:rsidRDefault="00843197" w:rsidP="00080D4A">
            <w:pPr>
              <w:pStyle w:val="Tekstkomentara"/>
              <w:rPr>
                <w:b/>
                <w:sz w:val="22"/>
                <w:szCs w:val="22"/>
              </w:rPr>
            </w:pPr>
            <w:r w:rsidRPr="00D03C37">
              <w:rPr>
                <w:b/>
                <w:sz w:val="22"/>
                <w:szCs w:val="22"/>
              </w:rPr>
              <w:t xml:space="preserve"> </w:t>
            </w:r>
          </w:p>
          <w:p w:rsidR="00843197" w:rsidRDefault="00843197" w:rsidP="00080D4A">
            <w:pPr>
              <w:pStyle w:val="Tekstkomentara"/>
              <w:rPr>
                <w:snapToGrid w:val="0"/>
                <w:sz w:val="22"/>
                <w:szCs w:val="22"/>
              </w:rPr>
            </w:pPr>
            <w:r>
              <w:rPr>
                <w:b/>
                <w:sz w:val="22"/>
                <w:szCs w:val="22"/>
              </w:rPr>
              <w:t>Cilj 2</w:t>
            </w:r>
            <w:r w:rsidRPr="00D03C37">
              <w:rPr>
                <w:b/>
                <w:sz w:val="22"/>
                <w:szCs w:val="22"/>
              </w:rPr>
              <w:t xml:space="preserve">. </w:t>
            </w:r>
            <w:r w:rsidRPr="00D03C37">
              <w:rPr>
                <w:b/>
                <w:snapToGrid w:val="0"/>
                <w:sz w:val="22"/>
                <w:szCs w:val="22"/>
              </w:rPr>
              <w:t xml:space="preserve">Podizanje svjesnosti o problemu otpornosti na antibiotike </w:t>
            </w:r>
            <w:r w:rsidRPr="00F430A9">
              <w:rPr>
                <w:b/>
                <w:snapToGrid w:val="0"/>
                <w:sz w:val="22"/>
                <w:szCs w:val="22"/>
              </w:rPr>
              <w:t>u veterinarskoj medicini</w:t>
            </w:r>
            <w:r w:rsidRPr="00D03C37">
              <w:rPr>
                <w:b/>
                <w:snapToGrid w:val="0"/>
                <w:sz w:val="22"/>
                <w:szCs w:val="22"/>
              </w:rPr>
              <w:t xml:space="preserve">  </w:t>
            </w:r>
            <w:r w:rsidRPr="00D03C37">
              <w:rPr>
                <w:snapToGrid w:val="0"/>
                <w:sz w:val="22"/>
                <w:szCs w:val="22"/>
              </w:rPr>
              <w:t>(u skladu sa smjernicama Europske komisije i Svjetske organizacije za zdravlje životinja)</w:t>
            </w:r>
          </w:p>
          <w:p w:rsidR="00843197" w:rsidRPr="00D03C37" w:rsidRDefault="00843197" w:rsidP="00080D4A">
            <w:pPr>
              <w:pStyle w:val="Tekstkomentara"/>
              <w:rPr>
                <w:b/>
                <w:sz w:val="22"/>
                <w:szCs w:val="22"/>
              </w:rPr>
            </w:pPr>
          </w:p>
        </w:tc>
      </w:tr>
      <w:tr w:rsidR="00843197" w:rsidRPr="00D03C37" w:rsidTr="00080D4A">
        <w:trPr>
          <w:trHeight w:val="240"/>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843197" w:rsidRPr="00D03C37" w:rsidRDefault="00843197" w:rsidP="00080D4A">
            <w:pPr>
              <w:widowControl w:val="0"/>
              <w:tabs>
                <w:tab w:val="left" w:pos="0"/>
              </w:tabs>
              <w:rPr>
                <w:snapToGrid w:val="0"/>
                <w:sz w:val="22"/>
                <w:szCs w:val="22"/>
              </w:rPr>
            </w:pPr>
            <w:r w:rsidRPr="00D03C37">
              <w:rPr>
                <w:b/>
                <w:sz w:val="22"/>
                <w:szCs w:val="22"/>
              </w:rPr>
              <w:t xml:space="preserve">Nositelj: </w:t>
            </w:r>
            <w:r w:rsidRPr="00D03C37">
              <w:rPr>
                <w:snapToGrid w:val="0"/>
                <w:sz w:val="22"/>
                <w:szCs w:val="22"/>
              </w:rPr>
              <w:t xml:space="preserve">   Ministarstva poljoprivrede</w:t>
            </w:r>
            <w:r>
              <w:rPr>
                <w:snapToGrid w:val="0"/>
                <w:sz w:val="22"/>
                <w:szCs w:val="22"/>
              </w:rPr>
              <w:t>,</w:t>
            </w:r>
            <w:r w:rsidRPr="00D03C37">
              <w:rPr>
                <w:snapToGrid w:val="0"/>
                <w:sz w:val="22"/>
                <w:szCs w:val="22"/>
              </w:rPr>
              <w:t xml:space="preserve"> Uprava za veterinarstvo i sigurnost hrane</w:t>
            </w:r>
          </w:p>
          <w:p w:rsidR="00843197" w:rsidRPr="00D03C37" w:rsidRDefault="00843197" w:rsidP="00080D4A">
            <w:pPr>
              <w:jc w:val="both"/>
              <w:rPr>
                <w:snapToGrid w:val="0"/>
                <w:sz w:val="22"/>
                <w:szCs w:val="22"/>
                <w:lang w:eastAsia="en-US"/>
              </w:rPr>
            </w:pPr>
            <w:r w:rsidRPr="00D03C37">
              <w:rPr>
                <w:rFonts w:eastAsia="Calibri"/>
                <w:b/>
                <w:sz w:val="22"/>
                <w:szCs w:val="22"/>
              </w:rPr>
              <w:t>Suradnici u provedbi</w:t>
            </w:r>
            <w:r w:rsidRPr="00D03C37">
              <w:rPr>
                <w:rFonts w:eastAsia="Calibri"/>
                <w:sz w:val="22"/>
                <w:szCs w:val="22"/>
              </w:rPr>
              <w:t>:</w:t>
            </w:r>
            <w:r w:rsidRPr="00D03C37">
              <w:rPr>
                <w:sz w:val="22"/>
                <w:szCs w:val="22"/>
              </w:rPr>
              <w:t xml:space="preserve">  </w:t>
            </w:r>
            <w:r w:rsidRPr="00D03C37">
              <w:rPr>
                <w:snapToGrid w:val="0"/>
                <w:sz w:val="22"/>
                <w:szCs w:val="22"/>
              </w:rPr>
              <w:t xml:space="preserve"> Hrvatski veterinarski institut, Veterinarski fakultet, Stručna veterinarska društva  </w:t>
            </w:r>
          </w:p>
        </w:tc>
      </w:tr>
      <w:tr w:rsidR="00843197"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Rok provedbe</w:t>
            </w:r>
          </w:p>
        </w:tc>
        <w:tc>
          <w:tcPr>
            <w:tcW w:w="4541" w:type="dxa"/>
            <w:tcBorders>
              <w:top w:val="double" w:sz="4" w:space="0" w:color="auto"/>
              <w:left w:val="double" w:sz="4" w:space="0" w:color="auto"/>
              <w:bottom w:val="double" w:sz="4" w:space="0" w:color="auto"/>
              <w:right w:val="double" w:sz="4" w:space="0" w:color="auto"/>
            </w:tcBorders>
            <w:hideMark/>
          </w:tcPr>
          <w:p w:rsidR="00843197" w:rsidRPr="00D03C37" w:rsidRDefault="00843197" w:rsidP="00080D4A">
            <w:pPr>
              <w:jc w:val="center"/>
              <w:rPr>
                <w:b/>
                <w:sz w:val="22"/>
                <w:szCs w:val="22"/>
                <w:lang w:eastAsia="en-US"/>
              </w:rPr>
            </w:pPr>
            <w:r w:rsidRPr="00D03C37">
              <w:rPr>
                <w:b/>
                <w:sz w:val="22"/>
                <w:szCs w:val="22"/>
              </w:rPr>
              <w:t>Aktivnosti</w:t>
            </w:r>
          </w:p>
        </w:tc>
        <w:tc>
          <w:tcPr>
            <w:tcW w:w="2421"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lang w:eastAsia="en-US"/>
              </w:rPr>
            </w:pPr>
            <w:r>
              <w:rPr>
                <w:b/>
                <w:sz w:val="20"/>
                <w:szCs w:val="20"/>
              </w:rPr>
              <w:t>Plan implementacije zadatka</w:t>
            </w:r>
          </w:p>
        </w:tc>
        <w:tc>
          <w:tcPr>
            <w:tcW w:w="1912" w:type="dxa"/>
            <w:tcBorders>
              <w:top w:val="double" w:sz="4" w:space="0" w:color="auto"/>
              <w:left w:val="double" w:sz="4" w:space="0" w:color="auto"/>
              <w:bottom w:val="double" w:sz="4" w:space="0" w:color="auto"/>
              <w:right w:val="double" w:sz="4" w:space="0" w:color="auto"/>
            </w:tcBorders>
            <w:hideMark/>
          </w:tcPr>
          <w:p w:rsidR="00843197" w:rsidRDefault="00843197" w:rsidP="00080D4A">
            <w:pPr>
              <w:jc w:val="center"/>
              <w:rPr>
                <w:b/>
                <w:sz w:val="20"/>
                <w:szCs w:val="20"/>
              </w:rPr>
            </w:pPr>
            <w:r>
              <w:rPr>
                <w:b/>
                <w:sz w:val="20"/>
                <w:szCs w:val="20"/>
              </w:rPr>
              <w:t>Aktivnost/pozicija/račun</w:t>
            </w:r>
          </w:p>
          <w:p w:rsidR="00843197" w:rsidRDefault="00843197" w:rsidP="00080D4A">
            <w:pPr>
              <w:jc w:val="center"/>
              <w:rPr>
                <w:b/>
                <w:sz w:val="20"/>
                <w:szCs w:val="20"/>
                <w:lang w:eastAsia="en-US"/>
              </w:rPr>
            </w:pPr>
            <w:r>
              <w:rPr>
                <w:b/>
                <w:sz w:val="20"/>
                <w:szCs w:val="20"/>
              </w:rPr>
              <w:t>Iznos financijskih sredstava</w:t>
            </w:r>
          </w:p>
        </w:tc>
      </w:tr>
      <w:tr w:rsidR="00843197"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rPr>
                <w:sz w:val="20"/>
                <w:szCs w:val="20"/>
                <w:lang w:eastAsia="en-US"/>
              </w:rPr>
            </w:pPr>
            <w:r>
              <w:rPr>
                <w:sz w:val="20"/>
                <w:szCs w:val="20"/>
              </w:rPr>
              <w:t>2017.-2021.</w:t>
            </w:r>
          </w:p>
        </w:tc>
        <w:tc>
          <w:tcPr>
            <w:tcW w:w="4541" w:type="dxa"/>
            <w:tcBorders>
              <w:top w:val="double" w:sz="4" w:space="0" w:color="auto"/>
              <w:left w:val="double" w:sz="4" w:space="0" w:color="auto"/>
              <w:bottom w:val="double" w:sz="4" w:space="0" w:color="auto"/>
              <w:right w:val="double" w:sz="4" w:space="0" w:color="auto"/>
            </w:tcBorders>
            <w:hideMark/>
          </w:tcPr>
          <w:p w:rsidR="00843197" w:rsidRPr="00D03C37" w:rsidRDefault="00843197" w:rsidP="00080D4A">
            <w:pPr>
              <w:widowControl w:val="0"/>
              <w:numPr>
                <w:ilvl w:val="0"/>
                <w:numId w:val="22"/>
              </w:numPr>
              <w:rPr>
                <w:snapToGrid w:val="0"/>
                <w:sz w:val="22"/>
                <w:szCs w:val="22"/>
              </w:rPr>
            </w:pPr>
            <w:r w:rsidRPr="00D03C37">
              <w:rPr>
                <w:snapToGrid w:val="0"/>
                <w:sz w:val="22"/>
                <w:szCs w:val="22"/>
              </w:rPr>
              <w:t>Izrada edukativnih materijala za veterinare i posjednike životinja te njihova distribucija tijekom  201</w:t>
            </w:r>
            <w:r>
              <w:rPr>
                <w:snapToGrid w:val="0"/>
                <w:sz w:val="22"/>
                <w:szCs w:val="22"/>
              </w:rPr>
              <w:t>7</w:t>
            </w:r>
            <w:r w:rsidRPr="00D03C37">
              <w:rPr>
                <w:snapToGrid w:val="0"/>
                <w:sz w:val="22"/>
                <w:szCs w:val="22"/>
              </w:rPr>
              <w:t>.</w:t>
            </w:r>
            <w:r>
              <w:rPr>
                <w:snapToGrid w:val="0"/>
                <w:sz w:val="22"/>
                <w:szCs w:val="22"/>
              </w:rPr>
              <w:t xml:space="preserve"> godine </w:t>
            </w:r>
            <w:r w:rsidRPr="00D03C37">
              <w:rPr>
                <w:snapToGrid w:val="0"/>
                <w:sz w:val="22"/>
                <w:szCs w:val="22"/>
              </w:rPr>
              <w:t xml:space="preserve"> i nadalje kontinuirano</w:t>
            </w:r>
          </w:p>
          <w:p w:rsidR="00843197" w:rsidRPr="00D03C37" w:rsidRDefault="00843197" w:rsidP="00080D4A">
            <w:pPr>
              <w:widowControl w:val="0"/>
              <w:numPr>
                <w:ilvl w:val="0"/>
                <w:numId w:val="22"/>
              </w:numPr>
              <w:rPr>
                <w:snapToGrid w:val="0"/>
                <w:sz w:val="22"/>
                <w:szCs w:val="22"/>
              </w:rPr>
            </w:pPr>
            <w:r w:rsidRPr="00D03C37">
              <w:rPr>
                <w:snapToGrid w:val="0"/>
                <w:sz w:val="22"/>
                <w:szCs w:val="22"/>
              </w:rPr>
              <w:t>Izrada i revidiranje nacionalnih smjernica o pravilnoj i odgovornoj  uporabi antibiotika u veterinarskoj medicini sukladno preporukama Europske komisije</w:t>
            </w:r>
          </w:p>
          <w:p w:rsidR="00843197" w:rsidRPr="00D03C37" w:rsidRDefault="00843197" w:rsidP="00080D4A">
            <w:pPr>
              <w:widowControl w:val="0"/>
              <w:numPr>
                <w:ilvl w:val="0"/>
                <w:numId w:val="22"/>
              </w:numPr>
              <w:rPr>
                <w:snapToGrid w:val="0"/>
                <w:sz w:val="22"/>
                <w:szCs w:val="22"/>
                <w:lang w:eastAsia="en-US"/>
              </w:rPr>
            </w:pPr>
            <w:r w:rsidRPr="00D03C37">
              <w:rPr>
                <w:snapToGrid w:val="0"/>
                <w:sz w:val="22"/>
                <w:szCs w:val="22"/>
              </w:rPr>
              <w:t xml:space="preserve">Obilježavanje Europskog dana svjesnosti o antibioticima (EAAD) </w:t>
            </w:r>
            <w:r w:rsidRPr="00D03C37">
              <w:rPr>
                <w:i/>
                <w:snapToGrid w:val="0"/>
                <w:sz w:val="22"/>
                <w:szCs w:val="22"/>
              </w:rPr>
              <w:t xml:space="preserve"> </w:t>
            </w:r>
            <w:r w:rsidRPr="00D03C37">
              <w:rPr>
                <w:snapToGrid w:val="0"/>
                <w:sz w:val="22"/>
                <w:szCs w:val="22"/>
              </w:rPr>
              <w:t xml:space="preserve"> </w:t>
            </w:r>
            <w:r w:rsidRPr="00D03C37">
              <w:rPr>
                <w:sz w:val="22"/>
                <w:szCs w:val="22"/>
              </w:rPr>
              <w:t xml:space="preserve"> </w:t>
            </w:r>
          </w:p>
        </w:tc>
        <w:tc>
          <w:tcPr>
            <w:tcW w:w="2421" w:type="dxa"/>
            <w:tcBorders>
              <w:top w:val="double" w:sz="4" w:space="0" w:color="auto"/>
              <w:left w:val="double" w:sz="4" w:space="0" w:color="auto"/>
              <w:bottom w:val="double" w:sz="4" w:space="0" w:color="auto"/>
              <w:right w:val="double" w:sz="4" w:space="0" w:color="auto"/>
            </w:tcBorders>
          </w:tcPr>
          <w:p w:rsidR="00843197" w:rsidRDefault="00843197" w:rsidP="00080D4A">
            <w:pPr>
              <w:widowControl w:val="0"/>
              <w:rPr>
                <w:rFonts w:cstheme="minorBidi"/>
                <w:i/>
                <w:snapToGrid w:val="0"/>
              </w:rPr>
            </w:pPr>
          </w:p>
          <w:p w:rsidR="00843197" w:rsidRPr="001F2B36" w:rsidRDefault="00843197" w:rsidP="00080D4A">
            <w:pPr>
              <w:widowControl w:val="0"/>
              <w:rPr>
                <w:rFonts w:cstheme="minorBidi"/>
                <w:snapToGrid w:val="0"/>
                <w:sz w:val="22"/>
                <w:szCs w:val="22"/>
              </w:rPr>
            </w:pPr>
            <w:r>
              <w:rPr>
                <w:rFonts w:cstheme="minorBidi"/>
                <w:snapToGrid w:val="0"/>
                <w:sz w:val="22"/>
                <w:szCs w:val="22"/>
              </w:rPr>
              <w:t>pripreme tijekom 2017</w:t>
            </w:r>
            <w:r w:rsidRPr="001F2B36">
              <w:rPr>
                <w:rFonts w:cstheme="minorBidi"/>
                <w:snapToGrid w:val="0"/>
                <w:sz w:val="22"/>
                <w:szCs w:val="22"/>
              </w:rPr>
              <w:t>. godin</w:t>
            </w:r>
            <w:r>
              <w:rPr>
                <w:rFonts w:cstheme="minorBidi"/>
                <w:snapToGrid w:val="0"/>
                <w:sz w:val="22"/>
                <w:szCs w:val="22"/>
              </w:rPr>
              <w:t>e</w:t>
            </w:r>
            <w:r w:rsidRPr="001F2B36">
              <w:rPr>
                <w:rFonts w:cstheme="minorBidi"/>
                <w:snapToGrid w:val="0"/>
                <w:sz w:val="22"/>
                <w:szCs w:val="22"/>
              </w:rPr>
              <w:t>, provedba 201</w:t>
            </w:r>
            <w:r>
              <w:rPr>
                <w:rFonts w:cstheme="minorBidi"/>
                <w:snapToGrid w:val="0"/>
                <w:sz w:val="22"/>
                <w:szCs w:val="22"/>
              </w:rPr>
              <w:t>8</w:t>
            </w:r>
            <w:r w:rsidRPr="001F2B36">
              <w:rPr>
                <w:rFonts w:cstheme="minorBidi"/>
                <w:snapToGrid w:val="0"/>
                <w:sz w:val="22"/>
                <w:szCs w:val="22"/>
              </w:rPr>
              <w:t>. godine i dalje kontinuirano</w:t>
            </w:r>
          </w:p>
          <w:p w:rsidR="00843197" w:rsidRDefault="00843197" w:rsidP="00080D4A">
            <w:pPr>
              <w:widowControl w:val="0"/>
              <w:rPr>
                <w:i/>
                <w:snapToGrid w:val="0"/>
              </w:rPr>
            </w:pPr>
          </w:p>
          <w:p w:rsidR="00843197" w:rsidRDefault="00843197" w:rsidP="00080D4A">
            <w:pPr>
              <w:widowControl w:val="0"/>
              <w:rPr>
                <w:sz w:val="20"/>
                <w:szCs w:val="20"/>
              </w:rPr>
            </w:pPr>
          </w:p>
          <w:p w:rsidR="00843197" w:rsidRDefault="00843197" w:rsidP="00080D4A">
            <w:pPr>
              <w:widowControl w:val="0"/>
              <w:rPr>
                <w:sz w:val="20"/>
                <w:szCs w:val="20"/>
              </w:rPr>
            </w:pPr>
          </w:p>
          <w:p w:rsidR="00843197" w:rsidRDefault="00843197" w:rsidP="00080D4A">
            <w:pPr>
              <w:widowControl w:val="0"/>
              <w:rPr>
                <w:sz w:val="20"/>
                <w:szCs w:val="20"/>
              </w:rPr>
            </w:pPr>
          </w:p>
          <w:p w:rsidR="00843197" w:rsidRDefault="00843197" w:rsidP="00080D4A">
            <w:pPr>
              <w:widowControl w:val="0"/>
              <w:rPr>
                <w:sz w:val="20"/>
                <w:szCs w:val="20"/>
              </w:rPr>
            </w:pPr>
          </w:p>
          <w:p w:rsidR="00843197" w:rsidRDefault="00843197" w:rsidP="00080D4A">
            <w:pPr>
              <w:widowControl w:val="0"/>
              <w:rPr>
                <w:sz w:val="20"/>
                <w:szCs w:val="20"/>
              </w:rPr>
            </w:pPr>
          </w:p>
          <w:p w:rsidR="00843197" w:rsidRDefault="00843197" w:rsidP="00080D4A">
            <w:pPr>
              <w:widowControl w:val="0"/>
              <w:rPr>
                <w:sz w:val="20"/>
                <w:szCs w:val="20"/>
                <w:lang w:eastAsia="en-US"/>
              </w:rPr>
            </w:pPr>
          </w:p>
        </w:tc>
        <w:tc>
          <w:tcPr>
            <w:tcW w:w="1912" w:type="dxa"/>
            <w:tcBorders>
              <w:top w:val="double" w:sz="4" w:space="0" w:color="auto"/>
              <w:left w:val="double" w:sz="4" w:space="0" w:color="auto"/>
              <w:bottom w:val="double" w:sz="4" w:space="0" w:color="auto"/>
              <w:right w:val="double" w:sz="4" w:space="0" w:color="auto"/>
            </w:tcBorders>
          </w:tcPr>
          <w:p w:rsidR="00843197" w:rsidRPr="008B376D" w:rsidRDefault="00843197" w:rsidP="00080D4A">
            <w:pPr>
              <w:widowControl w:val="0"/>
              <w:rPr>
                <w:rFonts w:asciiTheme="minorHAnsi" w:eastAsiaTheme="minorHAnsi" w:hAnsiTheme="minorHAnsi" w:cstheme="minorBidi"/>
                <w:sz w:val="22"/>
                <w:szCs w:val="22"/>
              </w:rPr>
            </w:pPr>
            <w:r w:rsidRPr="008B376D">
              <w:rPr>
                <w:sz w:val="22"/>
                <w:szCs w:val="22"/>
              </w:rPr>
              <w:t>Ministarstvo poljoprivrede, u okviru sredstava za redovne aktivnosti (A568000 Administracija i upravljanje)</w:t>
            </w:r>
          </w:p>
          <w:p w:rsidR="00843197" w:rsidRDefault="00843197" w:rsidP="00080D4A">
            <w:pPr>
              <w:rPr>
                <w:rFonts w:eastAsia="Calibri"/>
                <w:sz w:val="20"/>
                <w:szCs w:val="20"/>
              </w:rPr>
            </w:pPr>
          </w:p>
          <w:p w:rsidR="00843197" w:rsidRDefault="00843197" w:rsidP="00080D4A">
            <w:pPr>
              <w:widowControl w:val="0"/>
              <w:rPr>
                <w:rFonts w:asciiTheme="minorHAnsi" w:eastAsiaTheme="minorHAnsi" w:hAnsiTheme="minorHAnsi" w:cstheme="minorBidi"/>
                <w:sz w:val="22"/>
                <w:szCs w:val="22"/>
              </w:rPr>
            </w:pPr>
            <w:r>
              <w:t xml:space="preserve"> </w:t>
            </w:r>
          </w:p>
          <w:p w:rsidR="00843197" w:rsidRDefault="00843197" w:rsidP="00080D4A">
            <w:pPr>
              <w:rPr>
                <w:sz w:val="20"/>
                <w:szCs w:val="20"/>
                <w:lang w:eastAsia="en-US"/>
              </w:rPr>
            </w:pPr>
          </w:p>
        </w:tc>
      </w:tr>
      <w:tr w:rsidR="00843197" w:rsidTr="00080D4A">
        <w:trPr>
          <w:trHeight w:val="240"/>
        </w:trPr>
        <w:tc>
          <w:tcPr>
            <w:tcW w:w="1265" w:type="dxa"/>
            <w:gridSpan w:val="2"/>
            <w:tcBorders>
              <w:top w:val="double" w:sz="4" w:space="0" w:color="auto"/>
              <w:left w:val="double" w:sz="4" w:space="0" w:color="auto"/>
              <w:bottom w:val="double" w:sz="4" w:space="0" w:color="auto"/>
              <w:right w:val="double" w:sz="4" w:space="0" w:color="auto"/>
            </w:tcBorders>
          </w:tcPr>
          <w:p w:rsidR="00843197" w:rsidRDefault="00843197" w:rsidP="00080D4A">
            <w:pPr>
              <w:rPr>
                <w:b/>
                <w:sz w:val="20"/>
                <w:szCs w:val="20"/>
              </w:rPr>
            </w:pPr>
            <w:r>
              <w:rPr>
                <w:b/>
                <w:sz w:val="20"/>
                <w:szCs w:val="20"/>
              </w:rPr>
              <w:t>Indikatori</w:t>
            </w:r>
          </w:p>
          <w:p w:rsidR="00843197" w:rsidRDefault="00843197" w:rsidP="00080D4A">
            <w:pPr>
              <w:rPr>
                <w:sz w:val="20"/>
                <w:szCs w:val="20"/>
                <w:lang w:eastAsia="en-US"/>
              </w:rPr>
            </w:pPr>
          </w:p>
        </w:tc>
        <w:tc>
          <w:tcPr>
            <w:tcW w:w="8874" w:type="dxa"/>
            <w:gridSpan w:val="3"/>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rPr>
            </w:pPr>
            <w:r>
              <w:rPr>
                <w:b/>
                <w:sz w:val="20"/>
                <w:szCs w:val="20"/>
              </w:rPr>
              <w:t>Indikatori  provedbe</w:t>
            </w:r>
          </w:p>
          <w:p w:rsidR="00843197" w:rsidRDefault="00843197" w:rsidP="00080D4A">
            <w:pPr>
              <w:rPr>
                <w:snapToGrid w:val="0"/>
                <w:sz w:val="20"/>
                <w:szCs w:val="20"/>
              </w:rPr>
            </w:pPr>
            <w:r>
              <w:rPr>
                <w:sz w:val="20"/>
                <w:szCs w:val="20"/>
              </w:rPr>
              <w:t xml:space="preserve">• </w:t>
            </w:r>
            <w:r>
              <w:rPr>
                <w:snapToGrid w:val="0"/>
              </w:rPr>
              <w:t xml:space="preserve"> </w:t>
            </w:r>
            <w:r>
              <w:rPr>
                <w:snapToGrid w:val="0"/>
                <w:sz w:val="20"/>
                <w:szCs w:val="20"/>
              </w:rPr>
              <w:t xml:space="preserve">broj edukativnih materijala </w:t>
            </w:r>
          </w:p>
          <w:p w:rsidR="00843197" w:rsidRDefault="00843197" w:rsidP="00080D4A">
            <w:pPr>
              <w:rPr>
                <w:sz w:val="20"/>
                <w:szCs w:val="20"/>
              </w:rPr>
            </w:pPr>
            <w:r>
              <w:rPr>
                <w:sz w:val="20"/>
                <w:szCs w:val="20"/>
              </w:rPr>
              <w:t xml:space="preserve">•  broj izrađenih i revidiranih smjernica </w:t>
            </w:r>
          </w:p>
          <w:p w:rsidR="00843197" w:rsidRPr="00F430A9" w:rsidRDefault="00843197" w:rsidP="00080D4A">
            <w:pPr>
              <w:rPr>
                <w:b/>
                <w:sz w:val="20"/>
                <w:szCs w:val="20"/>
              </w:rPr>
            </w:pPr>
            <w:r>
              <w:rPr>
                <w:b/>
                <w:sz w:val="20"/>
                <w:szCs w:val="20"/>
              </w:rPr>
              <w:t>Indikatori  uspješnosti</w:t>
            </w:r>
          </w:p>
          <w:p w:rsidR="00843197" w:rsidRDefault="00843197" w:rsidP="00080D4A">
            <w:pPr>
              <w:jc w:val="both"/>
              <w:rPr>
                <w:snapToGrid w:val="0"/>
                <w:sz w:val="22"/>
                <w:szCs w:val="22"/>
                <w:lang w:eastAsia="en-US"/>
              </w:rPr>
            </w:pPr>
            <w:r>
              <w:rPr>
                <w:sz w:val="20"/>
                <w:szCs w:val="20"/>
              </w:rPr>
              <w:t xml:space="preserve">• </w:t>
            </w:r>
            <w:r>
              <w:rPr>
                <w:snapToGrid w:val="0"/>
                <w:sz w:val="20"/>
                <w:szCs w:val="20"/>
              </w:rPr>
              <w:t xml:space="preserve"> smanjenje potrošnje antibiotika u veterinarskoj medicini</w:t>
            </w:r>
            <w:r>
              <w:rPr>
                <w:sz w:val="20"/>
                <w:szCs w:val="20"/>
              </w:rPr>
              <w:t xml:space="preserve">  </w:t>
            </w:r>
            <w:r>
              <w:rPr>
                <w:snapToGrid w:val="0"/>
              </w:rPr>
              <w:t xml:space="preserve">  </w:t>
            </w:r>
          </w:p>
        </w:tc>
      </w:tr>
      <w:tr w:rsidR="00843197" w:rsidTr="00080D4A">
        <w:trPr>
          <w:trHeight w:val="2144"/>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rPr>
                <w:b/>
                <w:sz w:val="20"/>
                <w:szCs w:val="20"/>
              </w:rPr>
            </w:pPr>
          </w:p>
          <w:p w:rsidR="00843197" w:rsidRDefault="00843197" w:rsidP="00080D4A">
            <w:pPr>
              <w:rPr>
                <w:b/>
                <w:snapToGrid w:val="0"/>
              </w:rPr>
            </w:pPr>
            <w:r>
              <w:rPr>
                <w:b/>
                <w:snapToGrid w:val="0"/>
              </w:rPr>
              <w:t xml:space="preserve">Mjera 3.:  PODRŠKA ZNANSTVENIM ISTRAŽIVANJIMA I EDUKACIJI  NA PODRUČJU KONTROLE ŠIRENJA OTPORNOSTI BAKTERIJA NA ANTIBIOTIKE </w:t>
            </w:r>
          </w:p>
          <w:p w:rsidR="00843197" w:rsidRDefault="00843197" w:rsidP="00080D4A">
            <w:pPr>
              <w:widowControl w:val="0"/>
              <w:rPr>
                <w:b/>
                <w:snapToGrid w:val="0"/>
              </w:rPr>
            </w:pPr>
          </w:p>
          <w:p w:rsidR="00843197" w:rsidRDefault="00843197" w:rsidP="00080D4A">
            <w:pPr>
              <w:widowControl w:val="0"/>
              <w:rPr>
                <w:b/>
              </w:rPr>
            </w:pPr>
            <w:r>
              <w:rPr>
                <w:b/>
                <w:snapToGrid w:val="0"/>
              </w:rPr>
              <w:t xml:space="preserve">Nositelj: </w:t>
            </w:r>
            <w:r>
              <w:rPr>
                <w:snapToGrid w:val="0"/>
              </w:rPr>
              <w:t xml:space="preserve"> </w:t>
            </w:r>
            <w:r>
              <w:rPr>
                <w:b/>
                <w:snapToGrid w:val="0"/>
              </w:rPr>
              <w:t xml:space="preserve">MINISTARSTVO ZNANOSTI I OBRAZOVANJA </w:t>
            </w:r>
            <w:r>
              <w:rPr>
                <w:snapToGrid w:val="0"/>
              </w:rPr>
              <w:t xml:space="preserve">            </w:t>
            </w:r>
          </w:p>
          <w:p w:rsidR="00843197" w:rsidRDefault="00843197" w:rsidP="00080D4A">
            <w:pPr>
              <w:widowControl w:val="0"/>
            </w:pPr>
            <w:r>
              <w:rPr>
                <w:b/>
              </w:rPr>
              <w:t>Suradnici u provedbi:</w:t>
            </w:r>
            <w:r>
              <w:rPr>
                <w:sz w:val="20"/>
                <w:szCs w:val="20"/>
              </w:rPr>
              <w:t xml:space="preserve">  </w:t>
            </w:r>
            <w:r w:rsidRPr="00D03C37">
              <w:t>Hrvatska zaklada za znanost</w:t>
            </w:r>
          </w:p>
          <w:p w:rsidR="00843197" w:rsidRDefault="00843197" w:rsidP="00080D4A">
            <w:pPr>
              <w:rPr>
                <w:b/>
                <w:sz w:val="20"/>
                <w:szCs w:val="20"/>
                <w:lang w:eastAsia="en-US"/>
              </w:rPr>
            </w:pPr>
          </w:p>
        </w:tc>
      </w:tr>
      <w:tr w:rsidR="00843197" w:rsidRPr="00BB4D23" w:rsidTr="00080D4A">
        <w:trPr>
          <w:trHeight w:val="902"/>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jc w:val="both"/>
              <w:rPr>
                <w:snapToGrid w:val="0"/>
                <w:sz w:val="20"/>
                <w:szCs w:val="20"/>
              </w:rPr>
            </w:pPr>
            <w:r w:rsidRPr="00AA1AD5">
              <w:rPr>
                <w:b/>
                <w:snapToGrid w:val="0"/>
                <w:sz w:val="22"/>
                <w:szCs w:val="22"/>
              </w:rPr>
              <w:t xml:space="preserve">Cilj 1. </w:t>
            </w:r>
            <w:r w:rsidRPr="00AA1AD5">
              <w:rPr>
                <w:sz w:val="22"/>
                <w:szCs w:val="22"/>
              </w:rPr>
              <w:t xml:space="preserve"> </w:t>
            </w:r>
            <w:r w:rsidRPr="00AA1AD5">
              <w:rPr>
                <w:b/>
                <w:sz w:val="22"/>
                <w:szCs w:val="22"/>
              </w:rPr>
              <w:t>Ubrzati istraživanja i razvoj novih antimikrobnih lijekova i tehnologija potrebnih za kontroliranje širenja antimikrobne rezistencije</w:t>
            </w:r>
            <w:r>
              <w:t xml:space="preserve"> </w:t>
            </w:r>
            <w:r>
              <w:rPr>
                <w:snapToGrid w:val="0"/>
              </w:rPr>
              <w:t>(</w:t>
            </w:r>
            <w:r>
              <w:rPr>
                <w:snapToGrid w:val="0"/>
                <w:sz w:val="20"/>
                <w:szCs w:val="20"/>
              </w:rPr>
              <w:t>u skladu s Globalnim akcijskim planom SZO, cilj 5)</w:t>
            </w:r>
          </w:p>
          <w:p w:rsidR="00843197" w:rsidRDefault="00843197" w:rsidP="00080D4A">
            <w:pPr>
              <w:widowControl w:val="0"/>
              <w:rPr>
                <w:b/>
                <w:snapToGrid w:val="0"/>
              </w:rPr>
            </w:pPr>
          </w:p>
        </w:tc>
      </w:tr>
      <w:tr w:rsidR="00843197" w:rsidRPr="00BB4D23" w:rsidTr="00080D4A">
        <w:trPr>
          <w:trHeight w:val="902"/>
        </w:trPr>
        <w:tc>
          <w:tcPr>
            <w:tcW w:w="10139" w:type="dxa"/>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843197" w:rsidRDefault="00843197" w:rsidP="00080D4A">
            <w:pPr>
              <w:widowControl w:val="0"/>
              <w:rPr>
                <w:b/>
              </w:rPr>
            </w:pPr>
            <w:r>
              <w:rPr>
                <w:b/>
                <w:snapToGrid w:val="0"/>
              </w:rPr>
              <w:t xml:space="preserve">Nositelj: </w:t>
            </w:r>
            <w:r>
              <w:rPr>
                <w:snapToGrid w:val="0"/>
              </w:rPr>
              <w:t xml:space="preserve"> </w:t>
            </w:r>
            <w:r>
              <w:rPr>
                <w:b/>
                <w:snapToGrid w:val="0"/>
              </w:rPr>
              <w:t xml:space="preserve">MINISTARSTVO ZNANOSTI I OBRAZOVANJA </w:t>
            </w:r>
          </w:p>
          <w:p w:rsidR="00843197" w:rsidRDefault="00843197" w:rsidP="00080D4A">
            <w:pPr>
              <w:widowControl w:val="0"/>
            </w:pPr>
            <w:r>
              <w:rPr>
                <w:b/>
              </w:rPr>
              <w:t>Suradnici u provedbi:</w:t>
            </w:r>
            <w:r>
              <w:rPr>
                <w:sz w:val="20"/>
                <w:szCs w:val="20"/>
              </w:rPr>
              <w:t xml:space="preserve">  </w:t>
            </w:r>
            <w:r w:rsidRPr="00D03C37">
              <w:t>Hrvatska zaklada za znanost</w:t>
            </w:r>
            <w:r>
              <w:t xml:space="preserve">, </w:t>
            </w:r>
            <w:r w:rsidRPr="008B279A">
              <w:t>Stručna društva</w:t>
            </w:r>
          </w:p>
          <w:p w:rsidR="00843197" w:rsidRPr="00BB4D23" w:rsidRDefault="00843197" w:rsidP="00080D4A">
            <w:pPr>
              <w:widowControl w:val="0"/>
              <w:rPr>
                <w:b/>
                <w:snapToGrid w:val="0"/>
                <w:color w:val="FF0000"/>
              </w:rPr>
            </w:pPr>
          </w:p>
        </w:tc>
      </w:tr>
      <w:tr w:rsidR="00843197" w:rsidTr="00080D4A">
        <w:trPr>
          <w:trHeight w:val="1038"/>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lang w:eastAsia="en-US"/>
              </w:rPr>
            </w:pPr>
            <w:r>
              <w:rPr>
                <w:b/>
                <w:sz w:val="20"/>
                <w:szCs w:val="20"/>
              </w:rPr>
              <w:t>Rok provedbe</w:t>
            </w:r>
          </w:p>
        </w:tc>
        <w:tc>
          <w:tcPr>
            <w:tcW w:w="4541" w:type="dxa"/>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lang w:eastAsia="en-US"/>
              </w:rPr>
            </w:pPr>
            <w:r>
              <w:rPr>
                <w:b/>
                <w:sz w:val="20"/>
                <w:szCs w:val="20"/>
              </w:rPr>
              <w:t xml:space="preserve"> Aktivnost</w:t>
            </w:r>
          </w:p>
        </w:tc>
        <w:tc>
          <w:tcPr>
            <w:tcW w:w="2421" w:type="dxa"/>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lang w:eastAsia="en-US"/>
              </w:rPr>
            </w:pPr>
            <w:r>
              <w:rPr>
                <w:b/>
                <w:sz w:val="20"/>
                <w:szCs w:val="20"/>
              </w:rPr>
              <w:t>Plan implementacije zadatka</w:t>
            </w:r>
          </w:p>
        </w:tc>
        <w:tc>
          <w:tcPr>
            <w:tcW w:w="1912" w:type="dxa"/>
            <w:tcBorders>
              <w:top w:val="double" w:sz="4" w:space="0" w:color="auto"/>
              <w:left w:val="double" w:sz="4" w:space="0" w:color="auto"/>
              <w:bottom w:val="double" w:sz="4" w:space="0" w:color="auto"/>
              <w:right w:val="double" w:sz="4" w:space="0" w:color="auto"/>
            </w:tcBorders>
            <w:hideMark/>
          </w:tcPr>
          <w:p w:rsidR="00843197" w:rsidRDefault="00843197" w:rsidP="00080D4A">
            <w:pPr>
              <w:rPr>
                <w:b/>
                <w:sz w:val="20"/>
                <w:szCs w:val="20"/>
              </w:rPr>
            </w:pPr>
            <w:r>
              <w:rPr>
                <w:b/>
                <w:sz w:val="20"/>
                <w:szCs w:val="20"/>
              </w:rPr>
              <w:t>Aktivnost/pozicija/račun</w:t>
            </w:r>
          </w:p>
          <w:p w:rsidR="00843197" w:rsidRDefault="00843197" w:rsidP="00080D4A">
            <w:pPr>
              <w:rPr>
                <w:b/>
                <w:sz w:val="20"/>
                <w:szCs w:val="20"/>
                <w:lang w:eastAsia="en-US"/>
              </w:rPr>
            </w:pPr>
            <w:r>
              <w:rPr>
                <w:b/>
                <w:sz w:val="20"/>
                <w:szCs w:val="20"/>
              </w:rPr>
              <w:t>Iznos financijskih sredstava</w:t>
            </w:r>
          </w:p>
        </w:tc>
      </w:tr>
      <w:tr w:rsidR="00843197" w:rsidRPr="00843197" w:rsidTr="00080D4A">
        <w:trPr>
          <w:trHeight w:val="1329"/>
        </w:trPr>
        <w:tc>
          <w:tcPr>
            <w:tcW w:w="1265" w:type="dxa"/>
            <w:gridSpan w:val="2"/>
            <w:tcBorders>
              <w:top w:val="double" w:sz="4" w:space="0" w:color="auto"/>
              <w:left w:val="double" w:sz="4" w:space="0" w:color="auto"/>
              <w:bottom w:val="double" w:sz="4" w:space="0" w:color="auto"/>
              <w:right w:val="double" w:sz="4" w:space="0" w:color="auto"/>
            </w:tcBorders>
            <w:hideMark/>
          </w:tcPr>
          <w:p w:rsidR="00843197" w:rsidRPr="00843197" w:rsidRDefault="00843197" w:rsidP="00080D4A">
            <w:pPr>
              <w:rPr>
                <w:sz w:val="22"/>
                <w:szCs w:val="22"/>
                <w:lang w:eastAsia="en-US"/>
              </w:rPr>
            </w:pPr>
            <w:r w:rsidRPr="00843197">
              <w:rPr>
                <w:sz w:val="22"/>
                <w:szCs w:val="22"/>
              </w:rPr>
              <w:t>2017.-2021.</w:t>
            </w:r>
          </w:p>
        </w:tc>
        <w:tc>
          <w:tcPr>
            <w:tcW w:w="4541" w:type="dxa"/>
            <w:tcBorders>
              <w:top w:val="double" w:sz="4" w:space="0" w:color="auto"/>
              <w:left w:val="double" w:sz="4" w:space="0" w:color="auto"/>
              <w:bottom w:val="double" w:sz="4" w:space="0" w:color="auto"/>
              <w:right w:val="double" w:sz="4" w:space="0" w:color="auto"/>
            </w:tcBorders>
          </w:tcPr>
          <w:p w:rsidR="00843197" w:rsidRPr="00843197" w:rsidRDefault="00843197" w:rsidP="00080D4A">
            <w:pPr>
              <w:widowControl w:val="0"/>
              <w:ind w:left="172"/>
              <w:rPr>
                <w:sz w:val="22"/>
                <w:szCs w:val="22"/>
              </w:rPr>
            </w:pPr>
            <w:r w:rsidRPr="00843197">
              <w:rPr>
                <w:sz w:val="22"/>
                <w:szCs w:val="22"/>
              </w:rPr>
              <w:t xml:space="preserve">1. Provedba znanstvena istraživanja </w:t>
            </w:r>
          </w:p>
          <w:p w:rsidR="00843197" w:rsidRPr="00843197" w:rsidRDefault="00843197" w:rsidP="00080D4A">
            <w:pPr>
              <w:widowControl w:val="0"/>
              <w:ind w:left="172"/>
              <w:rPr>
                <w:sz w:val="22"/>
                <w:szCs w:val="22"/>
                <w:lang w:eastAsia="en-US"/>
              </w:rPr>
            </w:pPr>
            <w:r w:rsidRPr="00843197">
              <w:rPr>
                <w:sz w:val="22"/>
                <w:szCs w:val="22"/>
              </w:rPr>
              <w:t xml:space="preserve">2. Povećati broj programskih sadržaja s temama o otpornosti bakterija na antibiotike u javnim medijima </w:t>
            </w:r>
          </w:p>
        </w:tc>
        <w:tc>
          <w:tcPr>
            <w:tcW w:w="2421" w:type="dxa"/>
            <w:tcBorders>
              <w:top w:val="double" w:sz="4" w:space="0" w:color="auto"/>
              <w:left w:val="double" w:sz="4" w:space="0" w:color="auto"/>
              <w:bottom w:val="double" w:sz="4" w:space="0" w:color="auto"/>
              <w:right w:val="double" w:sz="4" w:space="0" w:color="auto"/>
            </w:tcBorders>
          </w:tcPr>
          <w:p w:rsidR="00843197" w:rsidRPr="00843197" w:rsidRDefault="00843197" w:rsidP="00080D4A">
            <w:pPr>
              <w:widowControl w:val="0"/>
              <w:rPr>
                <w:rFonts w:cstheme="minorBidi"/>
                <w:snapToGrid w:val="0"/>
                <w:sz w:val="22"/>
                <w:szCs w:val="22"/>
              </w:rPr>
            </w:pPr>
            <w:r w:rsidRPr="00843197">
              <w:rPr>
                <w:sz w:val="22"/>
                <w:szCs w:val="22"/>
              </w:rPr>
              <w:t>pr</w:t>
            </w:r>
            <w:r w:rsidRPr="00843197">
              <w:rPr>
                <w:rFonts w:cstheme="minorBidi"/>
                <w:snapToGrid w:val="0"/>
                <w:sz w:val="22"/>
                <w:szCs w:val="22"/>
              </w:rPr>
              <w:t>ipreme tijekom 2017. godine, provedba 2018. godine i dalje kontinuirano</w:t>
            </w:r>
          </w:p>
          <w:p w:rsidR="00843197" w:rsidRPr="00843197" w:rsidRDefault="00843197" w:rsidP="00080D4A">
            <w:pPr>
              <w:rPr>
                <w:sz w:val="22"/>
                <w:szCs w:val="22"/>
                <w:lang w:eastAsia="en-US"/>
              </w:rPr>
            </w:pPr>
          </w:p>
        </w:tc>
        <w:tc>
          <w:tcPr>
            <w:tcW w:w="1912" w:type="dxa"/>
            <w:tcBorders>
              <w:top w:val="double" w:sz="4" w:space="0" w:color="auto"/>
              <w:left w:val="double" w:sz="4" w:space="0" w:color="auto"/>
              <w:bottom w:val="double" w:sz="4" w:space="0" w:color="auto"/>
              <w:right w:val="double" w:sz="4" w:space="0" w:color="auto"/>
            </w:tcBorders>
          </w:tcPr>
          <w:p w:rsidR="00843197" w:rsidRPr="00843197" w:rsidRDefault="00843197" w:rsidP="00080D4A">
            <w:pPr>
              <w:rPr>
                <w:rFonts w:eastAsia="Calibri"/>
                <w:sz w:val="22"/>
                <w:szCs w:val="22"/>
                <w:lang w:eastAsia="en-US"/>
              </w:rPr>
            </w:pPr>
            <w:r w:rsidRPr="00843197">
              <w:rPr>
                <w:rFonts w:eastAsia="Calibri"/>
                <w:sz w:val="22"/>
                <w:szCs w:val="22"/>
                <w:lang w:eastAsia="en-US"/>
              </w:rPr>
              <w:t>Ministarstvo znanosti i obrazovanja, Program 3801 - Ulaganje u znanstvenoistraživačku djelatnost, na aktivnosti A621048 - Projektno financiranje znanstvene djelatnosti, skupini 3811 - Tekuće donacije u novcu u ukupnom iznosu od 90.000.000 kuna u 2017. godini te u ukupnom iznosu od 100.000.000 kuna u projekcijama za 2018. godinu i 115.000.000 kuna u projekcijama za 2019. godinu.</w:t>
            </w:r>
          </w:p>
        </w:tc>
      </w:tr>
      <w:tr w:rsidR="00843197" w:rsidTr="00080D4A">
        <w:trPr>
          <w:trHeight w:val="1142"/>
        </w:trPr>
        <w:tc>
          <w:tcPr>
            <w:tcW w:w="1265" w:type="dxa"/>
            <w:gridSpan w:val="2"/>
            <w:tcBorders>
              <w:top w:val="double" w:sz="4" w:space="0" w:color="auto"/>
              <w:left w:val="double" w:sz="4" w:space="0" w:color="auto"/>
              <w:bottom w:val="double" w:sz="4" w:space="0" w:color="auto"/>
              <w:right w:val="double" w:sz="4" w:space="0" w:color="auto"/>
            </w:tcBorders>
          </w:tcPr>
          <w:p w:rsidR="00843197" w:rsidRDefault="00843197" w:rsidP="00080D4A">
            <w:pPr>
              <w:rPr>
                <w:b/>
                <w:sz w:val="20"/>
                <w:szCs w:val="20"/>
              </w:rPr>
            </w:pPr>
            <w:r>
              <w:rPr>
                <w:b/>
                <w:sz w:val="20"/>
                <w:szCs w:val="20"/>
              </w:rPr>
              <w:t>Indikatori</w:t>
            </w:r>
          </w:p>
          <w:p w:rsidR="00843197" w:rsidRDefault="00843197" w:rsidP="00080D4A">
            <w:pPr>
              <w:rPr>
                <w:sz w:val="20"/>
                <w:szCs w:val="20"/>
                <w:lang w:eastAsia="en-US"/>
              </w:rPr>
            </w:pPr>
          </w:p>
        </w:tc>
        <w:tc>
          <w:tcPr>
            <w:tcW w:w="8874" w:type="dxa"/>
            <w:gridSpan w:val="3"/>
            <w:tcBorders>
              <w:top w:val="double" w:sz="4" w:space="0" w:color="auto"/>
              <w:left w:val="double" w:sz="4" w:space="0" w:color="auto"/>
              <w:bottom w:val="double" w:sz="4" w:space="0" w:color="auto"/>
              <w:right w:val="double" w:sz="4" w:space="0" w:color="auto"/>
            </w:tcBorders>
            <w:hideMark/>
          </w:tcPr>
          <w:p w:rsidR="00843197" w:rsidRDefault="00843197" w:rsidP="00080D4A">
            <w:pPr>
              <w:ind w:left="-112"/>
              <w:rPr>
                <w:b/>
                <w:sz w:val="20"/>
                <w:szCs w:val="20"/>
              </w:rPr>
            </w:pPr>
            <w:r>
              <w:rPr>
                <w:b/>
                <w:sz w:val="20"/>
                <w:szCs w:val="20"/>
              </w:rPr>
              <w:t>Indikatori provedbe</w:t>
            </w:r>
          </w:p>
          <w:p w:rsidR="00843197" w:rsidRPr="008B279A" w:rsidRDefault="00843197" w:rsidP="00080D4A">
            <w:pPr>
              <w:ind w:left="-112"/>
              <w:rPr>
                <w:sz w:val="20"/>
                <w:szCs w:val="20"/>
              </w:rPr>
            </w:pPr>
            <w:r>
              <w:rPr>
                <w:sz w:val="20"/>
                <w:szCs w:val="20"/>
              </w:rPr>
              <w:t>•</w:t>
            </w:r>
            <w:r>
              <w:rPr>
                <w:snapToGrid w:val="0"/>
              </w:rPr>
              <w:t xml:space="preserve"> </w:t>
            </w:r>
            <w:r>
              <w:rPr>
                <w:snapToGrid w:val="0"/>
                <w:sz w:val="20"/>
                <w:szCs w:val="20"/>
              </w:rPr>
              <w:t xml:space="preserve">odobreni znanstveni </w:t>
            </w:r>
            <w:r w:rsidRPr="008B279A">
              <w:rPr>
                <w:snapToGrid w:val="0"/>
                <w:sz w:val="20"/>
                <w:szCs w:val="20"/>
              </w:rPr>
              <w:t>projekti (Hrvatska zaklada za znanost)</w:t>
            </w:r>
          </w:p>
          <w:p w:rsidR="00843197" w:rsidRDefault="00843197" w:rsidP="00080D4A">
            <w:pPr>
              <w:ind w:left="-112"/>
              <w:rPr>
                <w:snapToGrid w:val="0"/>
                <w:sz w:val="20"/>
                <w:szCs w:val="20"/>
              </w:rPr>
            </w:pPr>
            <w:r w:rsidRPr="008B279A">
              <w:rPr>
                <w:sz w:val="20"/>
                <w:szCs w:val="20"/>
              </w:rPr>
              <w:t xml:space="preserve">• </w:t>
            </w:r>
            <w:r w:rsidRPr="008B279A">
              <w:rPr>
                <w:snapToGrid w:val="0"/>
                <w:sz w:val="20"/>
                <w:szCs w:val="20"/>
              </w:rPr>
              <w:t>zastupljenost  tema  o otpornosti bakterija na antibiotike u znanstveno</w:t>
            </w:r>
            <w:r>
              <w:rPr>
                <w:snapToGrid w:val="0"/>
                <w:sz w:val="20"/>
                <w:szCs w:val="20"/>
              </w:rPr>
              <w:t xml:space="preserve">-obrazovnim programima u javnim </w:t>
            </w:r>
          </w:p>
          <w:p w:rsidR="00843197" w:rsidRDefault="00843197" w:rsidP="00080D4A">
            <w:pPr>
              <w:rPr>
                <w:sz w:val="20"/>
                <w:szCs w:val="20"/>
              </w:rPr>
            </w:pPr>
            <w:r>
              <w:rPr>
                <w:snapToGrid w:val="0"/>
                <w:sz w:val="20"/>
                <w:szCs w:val="20"/>
              </w:rPr>
              <w:t xml:space="preserve">  medijima</w:t>
            </w:r>
            <w:r>
              <w:rPr>
                <w:sz w:val="20"/>
                <w:szCs w:val="20"/>
              </w:rPr>
              <w:t xml:space="preserve"> </w:t>
            </w:r>
          </w:p>
          <w:p w:rsidR="00843197" w:rsidRPr="00F430A9" w:rsidRDefault="00843197" w:rsidP="00080D4A">
            <w:pPr>
              <w:ind w:left="-112"/>
              <w:rPr>
                <w:b/>
                <w:sz w:val="20"/>
                <w:szCs w:val="20"/>
              </w:rPr>
            </w:pPr>
            <w:r>
              <w:rPr>
                <w:b/>
                <w:sz w:val="20"/>
                <w:szCs w:val="20"/>
              </w:rPr>
              <w:t>Indikatori  uspješnosti</w:t>
            </w:r>
          </w:p>
          <w:p w:rsidR="00843197" w:rsidRDefault="00843197" w:rsidP="00080D4A">
            <w:pPr>
              <w:ind w:left="-112"/>
              <w:rPr>
                <w:sz w:val="20"/>
                <w:szCs w:val="20"/>
                <w:lang w:eastAsia="en-US"/>
              </w:rPr>
            </w:pPr>
            <w:r>
              <w:rPr>
                <w:sz w:val="20"/>
                <w:szCs w:val="20"/>
              </w:rPr>
              <w:t xml:space="preserve">• </w:t>
            </w:r>
            <w:r>
              <w:rPr>
                <w:snapToGrid w:val="0"/>
                <w:sz w:val="20"/>
                <w:szCs w:val="20"/>
              </w:rPr>
              <w:t xml:space="preserve"> broj odobrenih znanstvenih projekata   </w:t>
            </w:r>
            <w:r>
              <w:rPr>
                <w:sz w:val="20"/>
                <w:szCs w:val="20"/>
              </w:rPr>
              <w:t xml:space="preserve">  </w:t>
            </w:r>
            <w:r>
              <w:rPr>
                <w:snapToGrid w:val="0"/>
              </w:rPr>
              <w:t xml:space="preserve">  </w:t>
            </w:r>
            <w:r>
              <w:rPr>
                <w:sz w:val="20"/>
                <w:szCs w:val="20"/>
              </w:rPr>
              <w:t xml:space="preserve"> </w:t>
            </w:r>
          </w:p>
        </w:tc>
      </w:tr>
    </w:tbl>
    <w:p w:rsidR="00D0021A" w:rsidRDefault="00D0021A" w:rsidP="008C100C"/>
    <w:p w:rsidR="00D0021A" w:rsidRDefault="00D0021A" w:rsidP="008C100C"/>
    <w:p w:rsidR="00080D4A" w:rsidRDefault="00080D4A" w:rsidP="008C100C"/>
    <w:p w:rsidR="007D4508" w:rsidRPr="00952A25" w:rsidRDefault="00952A25" w:rsidP="00DF2362">
      <w:pPr>
        <w:pStyle w:val="Naslov1"/>
        <w:ind w:left="705" w:hanging="705"/>
      </w:pPr>
      <w:bookmarkStart w:id="40" w:name="_Toc498334050"/>
      <w:r>
        <w:t xml:space="preserve">7 </w:t>
      </w:r>
      <w:r>
        <w:tab/>
      </w:r>
      <w:r w:rsidR="007D4508" w:rsidRPr="00952A25">
        <w:t xml:space="preserve">FINANCIJSKA SREDSTVA POTREBNA ZA  </w:t>
      </w:r>
      <w:r w:rsidRPr="00952A25">
        <w:t>P</w:t>
      </w:r>
      <w:r w:rsidR="007D4508" w:rsidRPr="00952A25">
        <w:t>ROVEDBU NACIONALNOG PROGRAMA</w:t>
      </w:r>
      <w:bookmarkEnd w:id="40"/>
      <w:r w:rsidR="007D4508" w:rsidRPr="00952A25">
        <w:br/>
      </w:r>
    </w:p>
    <w:p w:rsidR="003C726E" w:rsidRPr="004F699A" w:rsidRDefault="007D4508" w:rsidP="003C726E">
      <w:pPr>
        <w:jc w:val="both"/>
        <w:rPr>
          <w:rFonts w:eastAsia="Times New Roman"/>
          <w:color w:val="000000"/>
          <w:lang w:eastAsia="hr-HR"/>
        </w:rPr>
      </w:pPr>
      <w:r>
        <w:rPr>
          <w:snapToGrid w:val="0"/>
        </w:rPr>
        <w:t xml:space="preserve">Republika Hrvatska će iz </w:t>
      </w:r>
      <w:r w:rsidR="00AA1AD5">
        <w:rPr>
          <w:snapToGrid w:val="0"/>
        </w:rPr>
        <w:t>D</w:t>
      </w:r>
      <w:r>
        <w:rPr>
          <w:snapToGrid w:val="0"/>
        </w:rPr>
        <w:t xml:space="preserve">ržavnog proračuna osigurati sredstva potrebna za realizaciju ovoga Nacionalnoga programa, na način da nositelji pojedinih aktivnosti njihovo izvršenje uvrste u godišnje planove proračunskih pozicija pojedinih tijela državne uprave. Sukladno navedenom, dinamika osiguravanja i trošenja sredstava namijenjenih izvršavanju Nacionalnog programa određivat će se svake godine u </w:t>
      </w:r>
      <w:r w:rsidRPr="003C726E">
        <w:rPr>
          <w:snapToGrid w:val="0"/>
        </w:rPr>
        <w:t xml:space="preserve">postupku donošenja </w:t>
      </w:r>
      <w:r w:rsidR="00F0256E" w:rsidRPr="003C726E">
        <w:rPr>
          <w:snapToGrid w:val="0"/>
        </w:rPr>
        <w:t>d</w:t>
      </w:r>
      <w:r w:rsidRPr="003C726E">
        <w:rPr>
          <w:snapToGrid w:val="0"/>
        </w:rPr>
        <w:t>ržavnoga proračuna. Radi realizacije pojedinih mjera iz Nacionalnog programa, nositelji programa sukladno navedenim provedbenim aktivnostima mogu zaključivati ugovore s međunarodnim organizacijama i ostalim zainteresiranim donatorima.</w:t>
      </w:r>
      <w:r w:rsidR="003C726E" w:rsidRPr="003C726E">
        <w:rPr>
          <w:snapToGrid w:val="0"/>
        </w:rPr>
        <w:t xml:space="preserve"> </w:t>
      </w:r>
      <w:r w:rsidR="003C726E">
        <w:rPr>
          <w:snapToGrid w:val="0"/>
        </w:rPr>
        <w:t xml:space="preserve">Sveukupna osigurana sredstva </w:t>
      </w:r>
      <w:r w:rsidR="003C726E" w:rsidRPr="003C726E">
        <w:rPr>
          <w:snapToGrid w:val="0"/>
        </w:rPr>
        <w:t xml:space="preserve">za provedbu </w:t>
      </w:r>
      <w:r w:rsidR="003C726E">
        <w:rPr>
          <w:snapToGrid w:val="0"/>
        </w:rPr>
        <w:t xml:space="preserve">Nacionalnog programa </w:t>
      </w:r>
      <w:r w:rsidR="003C726E" w:rsidRPr="003C726E">
        <w:rPr>
          <w:snapToGrid w:val="0"/>
        </w:rPr>
        <w:t xml:space="preserve">u 2017. godini iznose </w:t>
      </w:r>
      <w:r w:rsidR="003C726E" w:rsidRPr="003C726E">
        <w:rPr>
          <w:rFonts w:eastAsia="Times New Roman"/>
          <w:lang w:eastAsia="hr-HR"/>
        </w:rPr>
        <w:t>92.367.440,00 kuna, u projekciji za 2018. godinu 102.367.440,00 kuna, a u projekciji za 2019. godinu 117.367.440,00 kuna.</w:t>
      </w:r>
    </w:p>
    <w:p w:rsidR="007D4508" w:rsidRDefault="007D4508"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Default="00080D4A" w:rsidP="007D4508">
      <w:pPr>
        <w:widowControl w:val="0"/>
        <w:jc w:val="both"/>
        <w:rPr>
          <w:snapToGrid w:val="0"/>
          <w:color w:val="FF0000"/>
        </w:rPr>
      </w:pPr>
    </w:p>
    <w:p w:rsidR="00080D4A" w:rsidRPr="00673AE8" w:rsidRDefault="00080D4A" w:rsidP="007D4508">
      <w:pPr>
        <w:widowControl w:val="0"/>
        <w:jc w:val="both"/>
        <w:rPr>
          <w:snapToGrid w:val="0"/>
          <w:color w:val="FF0000"/>
        </w:rPr>
      </w:pPr>
    </w:p>
    <w:p w:rsidR="00417811" w:rsidRPr="00952A25" w:rsidRDefault="00417811" w:rsidP="00DF2362">
      <w:pPr>
        <w:pStyle w:val="Naslov1"/>
        <w:ind w:left="360" w:hanging="360"/>
      </w:pPr>
      <w:bookmarkStart w:id="41" w:name="_Toc498334051"/>
      <w:r w:rsidRPr="00B906C7">
        <w:t xml:space="preserve">8 </w:t>
      </w:r>
      <w:r w:rsidRPr="00B906C7">
        <w:tab/>
      </w:r>
      <w:r w:rsidR="00A1356F" w:rsidRPr="00B906C7">
        <w:t xml:space="preserve">TIJELA DRŽAVNE UPRAVE </w:t>
      </w:r>
      <w:r w:rsidRPr="00B906C7">
        <w:t xml:space="preserve"> I INSTITUCIJE UKLJU</w:t>
      </w:r>
      <w:r w:rsidR="00A1356F" w:rsidRPr="00B906C7">
        <w:t>ČENE U PROVEDBU</w:t>
      </w:r>
      <w:r w:rsidR="00A1356F">
        <w:t xml:space="preserve"> </w:t>
      </w:r>
      <w:r w:rsidR="00AA1AD5">
        <w:t xml:space="preserve">NACIONALNOG </w:t>
      </w:r>
      <w:r w:rsidR="00A1356F">
        <w:t>PROGRAMA</w:t>
      </w:r>
      <w:bookmarkEnd w:id="41"/>
    </w:p>
    <w:p w:rsidR="007D4508" w:rsidRPr="00417811" w:rsidRDefault="00417811" w:rsidP="00DF2362">
      <w:pPr>
        <w:pStyle w:val="Naslov1"/>
        <w:rPr>
          <w:rFonts w:ascii="Times New Roman" w:hAnsi="Times New Roman" w:cs="Times New Roman"/>
          <w:sz w:val="36"/>
          <w:szCs w:val="36"/>
        </w:rPr>
      </w:pPr>
      <w:r>
        <w:rPr>
          <w:rFonts w:ascii="Times New Roman" w:hAnsi="Times New Roman" w:cs="Times New Roman"/>
          <w:sz w:val="36"/>
          <w:szCs w:val="36"/>
        </w:rPr>
        <w:t xml:space="preserve"> </w:t>
      </w:r>
    </w:p>
    <w:p w:rsidR="007D4508" w:rsidRDefault="0083008B" w:rsidP="007D4508">
      <w:pPr>
        <w:numPr>
          <w:ilvl w:val="0"/>
          <w:numId w:val="8"/>
        </w:numPr>
        <w:jc w:val="both"/>
      </w:pPr>
      <w:r>
        <w:t>Ministarstvo zdravstva</w:t>
      </w:r>
      <w:r w:rsidR="007D4508">
        <w:t xml:space="preserve"> </w:t>
      </w:r>
    </w:p>
    <w:p w:rsidR="007D4508" w:rsidRDefault="007D4508" w:rsidP="007D4508">
      <w:pPr>
        <w:numPr>
          <w:ilvl w:val="0"/>
          <w:numId w:val="8"/>
        </w:numPr>
        <w:jc w:val="both"/>
      </w:pPr>
      <w:r>
        <w:t>Ministarstvo poljoprivrede</w:t>
      </w:r>
    </w:p>
    <w:p w:rsidR="007D4508" w:rsidRDefault="0083008B" w:rsidP="007D4508">
      <w:pPr>
        <w:numPr>
          <w:ilvl w:val="0"/>
          <w:numId w:val="8"/>
        </w:numPr>
        <w:jc w:val="both"/>
      </w:pPr>
      <w:r>
        <w:t>Ministarstvo znanosti i</w:t>
      </w:r>
      <w:r w:rsidR="007D4508">
        <w:t xml:space="preserve"> obrazovanja </w:t>
      </w:r>
    </w:p>
    <w:p w:rsidR="00A1420A" w:rsidRDefault="00A1420A" w:rsidP="007D4508">
      <w:pPr>
        <w:numPr>
          <w:ilvl w:val="0"/>
          <w:numId w:val="8"/>
        </w:numPr>
        <w:jc w:val="both"/>
      </w:pPr>
      <w:r>
        <w:t>Hrvatska zaklada za znanost</w:t>
      </w:r>
    </w:p>
    <w:p w:rsidR="007D4508" w:rsidRDefault="007110CE" w:rsidP="007D4508">
      <w:pPr>
        <w:numPr>
          <w:ilvl w:val="0"/>
          <w:numId w:val="8"/>
        </w:numPr>
        <w:jc w:val="both"/>
      </w:pPr>
      <w:r w:rsidRPr="007110CE">
        <w:rPr>
          <w:rFonts w:eastAsia="Calibri"/>
        </w:rPr>
        <w:t>Referentni centar Ministarstva zdravstva za praćenje rezistencije bakterija na antibiotike</w:t>
      </w:r>
      <w:r w:rsidRPr="00677364">
        <w:rPr>
          <w:rFonts w:eastAsia="Calibri"/>
          <w:sz w:val="22"/>
          <w:szCs w:val="22"/>
        </w:rPr>
        <w:t xml:space="preserve"> </w:t>
      </w:r>
      <w:r w:rsidR="007D4508">
        <w:rPr>
          <w:snapToGrid w:val="0"/>
        </w:rPr>
        <w:t>Klinika za infektivne bolesti „Dr. Fran Mihaljević“</w:t>
      </w:r>
    </w:p>
    <w:p w:rsidR="007D4508" w:rsidRDefault="007D4508" w:rsidP="007D4508">
      <w:pPr>
        <w:numPr>
          <w:ilvl w:val="0"/>
          <w:numId w:val="8"/>
        </w:numPr>
        <w:jc w:val="both"/>
      </w:pPr>
      <w:r>
        <w:t>Akademija medicinskih znanosti Hrvatske</w:t>
      </w:r>
    </w:p>
    <w:p w:rsidR="007D4508" w:rsidRDefault="007D4508" w:rsidP="007D4508">
      <w:pPr>
        <w:numPr>
          <w:ilvl w:val="1"/>
          <w:numId w:val="8"/>
        </w:numPr>
        <w:jc w:val="both"/>
      </w:pPr>
      <w:r>
        <w:t xml:space="preserve">Odbor za praćenje rezistencije bakterija na antibiotike </w:t>
      </w:r>
    </w:p>
    <w:p w:rsidR="007D4508" w:rsidRDefault="007D4508" w:rsidP="007D4508">
      <w:pPr>
        <w:numPr>
          <w:ilvl w:val="0"/>
          <w:numId w:val="8"/>
        </w:numPr>
        <w:jc w:val="both"/>
      </w:pPr>
      <w:r>
        <w:t>Hrvatski liječnički zbor</w:t>
      </w:r>
    </w:p>
    <w:p w:rsidR="007D4508" w:rsidRDefault="007D4508" w:rsidP="007D4508">
      <w:pPr>
        <w:numPr>
          <w:ilvl w:val="1"/>
          <w:numId w:val="8"/>
        </w:numPr>
        <w:jc w:val="both"/>
      </w:pPr>
      <w:r>
        <w:t>Hrvatsko društvo za kliničku mikrobiologiju</w:t>
      </w:r>
    </w:p>
    <w:p w:rsidR="007D4508" w:rsidRDefault="007D4508" w:rsidP="007D4508">
      <w:pPr>
        <w:numPr>
          <w:ilvl w:val="1"/>
          <w:numId w:val="8"/>
        </w:numPr>
        <w:jc w:val="both"/>
      </w:pPr>
      <w:r>
        <w:t>Hrvatsko društvo za infektivne bolesti</w:t>
      </w:r>
    </w:p>
    <w:p w:rsidR="007D4508" w:rsidRDefault="007D4508" w:rsidP="007D4508">
      <w:pPr>
        <w:numPr>
          <w:ilvl w:val="1"/>
          <w:numId w:val="8"/>
        </w:numPr>
        <w:jc w:val="both"/>
      </w:pPr>
      <w:r>
        <w:t>Hrvatsko društvo za kemoterapiju</w:t>
      </w:r>
    </w:p>
    <w:p w:rsidR="007D4508" w:rsidRDefault="007D4508" w:rsidP="007D4508">
      <w:pPr>
        <w:numPr>
          <w:ilvl w:val="1"/>
          <w:numId w:val="8"/>
        </w:numPr>
        <w:jc w:val="both"/>
      </w:pPr>
      <w:r>
        <w:t xml:space="preserve">Hrvatsko društvo za kliničku farmakologiju </w:t>
      </w:r>
    </w:p>
    <w:p w:rsidR="007D4508" w:rsidRDefault="007D4508" w:rsidP="007D4508">
      <w:pPr>
        <w:numPr>
          <w:ilvl w:val="1"/>
          <w:numId w:val="8"/>
        </w:numPr>
        <w:jc w:val="both"/>
      </w:pPr>
      <w:r>
        <w:t>Hrvatsko društvo obiteljskih doktora</w:t>
      </w:r>
    </w:p>
    <w:p w:rsidR="007D4508" w:rsidRDefault="007D4508" w:rsidP="007D4508">
      <w:pPr>
        <w:numPr>
          <w:ilvl w:val="1"/>
          <w:numId w:val="8"/>
        </w:numPr>
        <w:jc w:val="both"/>
      </w:pPr>
      <w:r>
        <w:t xml:space="preserve">Hrvatsko epidemiološko društvo </w:t>
      </w:r>
    </w:p>
    <w:p w:rsidR="007D4508" w:rsidRDefault="007D4508" w:rsidP="007D4508">
      <w:pPr>
        <w:numPr>
          <w:ilvl w:val="0"/>
          <w:numId w:val="8"/>
        </w:numPr>
        <w:jc w:val="both"/>
      </w:pPr>
      <w:r>
        <w:t>Hrvatski zavod za javno zdravstvo</w:t>
      </w:r>
    </w:p>
    <w:p w:rsidR="007D4508" w:rsidRDefault="007D4508" w:rsidP="007D4508">
      <w:pPr>
        <w:numPr>
          <w:ilvl w:val="0"/>
          <w:numId w:val="8"/>
        </w:numPr>
        <w:jc w:val="both"/>
      </w:pPr>
      <w:r>
        <w:t>Hrvatski zavod za zdravstveno osiguranje</w:t>
      </w:r>
    </w:p>
    <w:p w:rsidR="007D4508" w:rsidRDefault="007D4508" w:rsidP="007D4508">
      <w:pPr>
        <w:numPr>
          <w:ilvl w:val="0"/>
          <w:numId w:val="8"/>
        </w:numPr>
        <w:jc w:val="both"/>
      </w:pPr>
      <w:r>
        <w:t>Agencija za lijekove i medicinske proizvode</w:t>
      </w:r>
    </w:p>
    <w:p w:rsidR="007D4508" w:rsidRDefault="007D4508" w:rsidP="007D4508">
      <w:pPr>
        <w:numPr>
          <w:ilvl w:val="0"/>
          <w:numId w:val="8"/>
        </w:numPr>
        <w:jc w:val="both"/>
      </w:pPr>
      <w:r>
        <w:t>Medicinski fakultet Sveučilišta u Zagrebu</w:t>
      </w:r>
    </w:p>
    <w:p w:rsidR="007D4508" w:rsidRDefault="007D4508" w:rsidP="007D4508">
      <w:pPr>
        <w:numPr>
          <w:ilvl w:val="0"/>
          <w:numId w:val="8"/>
        </w:numPr>
        <w:jc w:val="both"/>
      </w:pPr>
      <w:r>
        <w:t>Medicinski fakultet Sveučilišta Rijeci</w:t>
      </w:r>
    </w:p>
    <w:p w:rsidR="007D4508" w:rsidRDefault="007D4508" w:rsidP="007D4508">
      <w:pPr>
        <w:numPr>
          <w:ilvl w:val="0"/>
          <w:numId w:val="8"/>
        </w:numPr>
        <w:jc w:val="both"/>
      </w:pPr>
      <w:r>
        <w:t xml:space="preserve">Medicinski fakultet Sveučilišta Splitu </w:t>
      </w:r>
    </w:p>
    <w:p w:rsidR="007D4508" w:rsidRDefault="007D4508" w:rsidP="007D4508">
      <w:pPr>
        <w:numPr>
          <w:ilvl w:val="0"/>
          <w:numId w:val="8"/>
        </w:numPr>
        <w:jc w:val="both"/>
      </w:pPr>
      <w:r>
        <w:t>Medicinski fakultet Sveučilišta Josip Juraj Strossmayer u Osijeku</w:t>
      </w:r>
    </w:p>
    <w:p w:rsidR="007D4508" w:rsidRDefault="007D4508" w:rsidP="007D4508">
      <w:pPr>
        <w:numPr>
          <w:ilvl w:val="0"/>
          <w:numId w:val="8"/>
        </w:numPr>
        <w:jc w:val="both"/>
      </w:pPr>
      <w:r>
        <w:t>Farmaceutsko-biokemijski fakultet Sveučilišta u Zagrebu</w:t>
      </w:r>
    </w:p>
    <w:p w:rsidR="007D4508" w:rsidRDefault="007D4508" w:rsidP="007D4508">
      <w:pPr>
        <w:numPr>
          <w:ilvl w:val="0"/>
          <w:numId w:val="8"/>
        </w:numPr>
        <w:jc w:val="both"/>
      </w:pPr>
      <w:r>
        <w:t>Hrvatska ljekarnička komora</w:t>
      </w:r>
    </w:p>
    <w:p w:rsidR="007D4508" w:rsidRDefault="007D4508" w:rsidP="007D4508">
      <w:pPr>
        <w:numPr>
          <w:ilvl w:val="0"/>
          <w:numId w:val="8"/>
        </w:numPr>
        <w:jc w:val="both"/>
      </w:pPr>
      <w:r>
        <w:t xml:space="preserve">Hrvatsko farmaceutsko društvo </w:t>
      </w:r>
    </w:p>
    <w:p w:rsidR="007D4508" w:rsidRDefault="007D4508" w:rsidP="007D4508">
      <w:pPr>
        <w:numPr>
          <w:ilvl w:val="0"/>
          <w:numId w:val="8"/>
        </w:numPr>
        <w:jc w:val="both"/>
      </w:pPr>
      <w:r>
        <w:t>Hrvatski veterinarski institut</w:t>
      </w:r>
    </w:p>
    <w:p w:rsidR="007D4508" w:rsidRDefault="007D4508" w:rsidP="007D4508">
      <w:pPr>
        <w:numPr>
          <w:ilvl w:val="0"/>
          <w:numId w:val="8"/>
        </w:numPr>
        <w:jc w:val="both"/>
      </w:pPr>
      <w:r>
        <w:t>Veterinarski fakultet Sveučilišta u Zagrebu</w:t>
      </w:r>
    </w:p>
    <w:p w:rsidR="007D4508" w:rsidRDefault="007D4508" w:rsidP="007D4508">
      <w:pPr>
        <w:numPr>
          <w:ilvl w:val="0"/>
          <w:numId w:val="8"/>
        </w:numPr>
        <w:jc w:val="both"/>
      </w:pPr>
      <w:r>
        <w:t>Ovlaštene veterinarske organizacije</w:t>
      </w:r>
    </w:p>
    <w:p w:rsidR="007D4508" w:rsidRDefault="007D4508" w:rsidP="007D4508">
      <w:pPr>
        <w:numPr>
          <w:ilvl w:val="0"/>
          <w:numId w:val="8"/>
        </w:numPr>
        <w:jc w:val="both"/>
      </w:pPr>
      <w:r>
        <w:t>Stručna veterinarska društva</w:t>
      </w:r>
    </w:p>
    <w:p w:rsidR="007D4508" w:rsidRDefault="007D4508" w:rsidP="007D4508">
      <w:pPr>
        <w:numPr>
          <w:ilvl w:val="0"/>
          <w:numId w:val="8"/>
        </w:numPr>
        <w:jc w:val="both"/>
      </w:pPr>
      <w:r>
        <w:t>Hrvatska veterinarska komora</w:t>
      </w:r>
    </w:p>
    <w:sectPr w:rsidR="007D4508" w:rsidSect="000E01FC">
      <w:footerReference w:type="default" r:id="rId11"/>
      <w:type w:val="continuous"/>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A1" w:rsidRDefault="00D919A1" w:rsidP="00C31EFA">
      <w:r>
        <w:separator/>
      </w:r>
    </w:p>
  </w:endnote>
  <w:endnote w:type="continuationSeparator" w:id="0">
    <w:p w:rsidR="00D919A1" w:rsidRDefault="00D919A1" w:rsidP="00C3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007"/>
      <w:docPartObj>
        <w:docPartGallery w:val="Page Numbers (Bottom of Page)"/>
        <w:docPartUnique/>
      </w:docPartObj>
    </w:sdtPr>
    <w:sdtEndPr/>
    <w:sdtContent>
      <w:p w:rsidR="00F5710F" w:rsidRDefault="00F5710F">
        <w:pPr>
          <w:pStyle w:val="Podnoje"/>
          <w:jc w:val="right"/>
        </w:pPr>
        <w:r>
          <w:fldChar w:fldCharType="begin"/>
        </w:r>
        <w:r>
          <w:instrText>PAGE   \* MERGEFORMAT</w:instrText>
        </w:r>
        <w:r>
          <w:fldChar w:fldCharType="separate"/>
        </w:r>
        <w:r w:rsidR="00D102EB">
          <w:rPr>
            <w:noProof/>
          </w:rPr>
          <w:t>3</w:t>
        </w:r>
        <w:r>
          <w:fldChar w:fldCharType="end"/>
        </w:r>
      </w:p>
    </w:sdtContent>
  </w:sdt>
  <w:p w:rsidR="00F5710F" w:rsidRDefault="00F5710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A1" w:rsidRDefault="00D919A1" w:rsidP="00C31EFA">
      <w:r>
        <w:separator/>
      </w:r>
    </w:p>
  </w:footnote>
  <w:footnote w:type="continuationSeparator" w:id="0">
    <w:p w:rsidR="00D919A1" w:rsidRDefault="00D919A1" w:rsidP="00C3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A7B"/>
    <w:multiLevelType w:val="hybridMultilevel"/>
    <w:tmpl w:val="9954935E"/>
    <w:lvl w:ilvl="0" w:tplc="2C7012D2">
      <w:start w:val="1"/>
      <w:numFmt w:val="decimal"/>
      <w:lvlText w:val="%1."/>
      <w:lvlJc w:val="left"/>
      <w:pPr>
        <w:ind w:left="1080" w:hanging="360"/>
      </w:pPr>
      <w:rPr>
        <w:rFonts w:cs="Times New Roman" w:hint="default"/>
        <w:b w:val="0"/>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7A4ED3"/>
    <w:multiLevelType w:val="hybridMultilevel"/>
    <w:tmpl w:val="6F908B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4B59D6"/>
    <w:multiLevelType w:val="hybridMultilevel"/>
    <w:tmpl w:val="4148E110"/>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D160EE"/>
    <w:multiLevelType w:val="hybridMultilevel"/>
    <w:tmpl w:val="E0885AD6"/>
    <w:lvl w:ilvl="0" w:tplc="041A000F">
      <w:start w:val="1"/>
      <w:numFmt w:val="decimal"/>
      <w:lvlText w:val="%1."/>
      <w:lvlJc w:val="left"/>
      <w:pPr>
        <w:tabs>
          <w:tab w:val="num" w:pos="720"/>
        </w:tabs>
        <w:ind w:left="720" w:hanging="360"/>
      </w:pPr>
      <w:rPr>
        <w:rFonts w:cs="Times New Roman" w:hint="default"/>
      </w:rPr>
    </w:lvl>
    <w:lvl w:ilvl="1" w:tplc="487419AA">
      <w:start w:val="4"/>
      <w:numFmt w:val="decimal"/>
      <w:lvlText w:val="%2"/>
      <w:lvlJc w:val="left"/>
      <w:pPr>
        <w:tabs>
          <w:tab w:val="num" w:pos="1785"/>
        </w:tabs>
        <w:ind w:left="1785" w:hanging="705"/>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92736C"/>
    <w:multiLevelType w:val="multilevel"/>
    <w:tmpl w:val="7FD81182"/>
    <w:lvl w:ilvl="0">
      <w:start w:val="1"/>
      <w:numFmt w:val="decimal"/>
      <w:lvlText w:val="%1"/>
      <w:lvlJc w:val="left"/>
      <w:pPr>
        <w:ind w:left="1065" w:hanging="705"/>
      </w:pPr>
      <w:rPr>
        <w:rFonts w:cs="Times New Roman" w:hint="default"/>
      </w:rPr>
    </w:lvl>
    <w:lvl w:ilvl="1">
      <w:start w:val="1"/>
      <w:numFmt w:val="decimal"/>
      <w:isLgl/>
      <w:lvlText w:val="%1.%2."/>
      <w:lvlJc w:val="left"/>
      <w:pPr>
        <w:ind w:left="1425" w:hanging="360"/>
      </w:pPr>
      <w:rPr>
        <w:rFonts w:cs="Times New Roman" w:hint="default"/>
      </w:rPr>
    </w:lvl>
    <w:lvl w:ilvl="2">
      <w:start w:val="1"/>
      <w:numFmt w:val="decimal"/>
      <w:isLgl/>
      <w:lvlText w:val="%1.%2.%3."/>
      <w:lvlJc w:val="left"/>
      <w:pPr>
        <w:ind w:left="2490" w:hanging="720"/>
      </w:pPr>
      <w:rPr>
        <w:rFonts w:cs="Times New Roman" w:hint="default"/>
      </w:rPr>
    </w:lvl>
    <w:lvl w:ilvl="3">
      <w:start w:val="1"/>
      <w:numFmt w:val="decimal"/>
      <w:isLgl/>
      <w:lvlText w:val="%1.%2.%3.%4."/>
      <w:lvlJc w:val="left"/>
      <w:pPr>
        <w:ind w:left="3195" w:hanging="720"/>
      </w:pPr>
      <w:rPr>
        <w:rFonts w:cs="Times New Roman" w:hint="default"/>
      </w:rPr>
    </w:lvl>
    <w:lvl w:ilvl="4">
      <w:start w:val="1"/>
      <w:numFmt w:val="decimal"/>
      <w:isLgl/>
      <w:lvlText w:val="%1.%2.%3.%4.%5."/>
      <w:lvlJc w:val="left"/>
      <w:pPr>
        <w:ind w:left="4260" w:hanging="1080"/>
      </w:pPr>
      <w:rPr>
        <w:rFonts w:cs="Times New Roman" w:hint="default"/>
      </w:rPr>
    </w:lvl>
    <w:lvl w:ilvl="5">
      <w:start w:val="1"/>
      <w:numFmt w:val="decimal"/>
      <w:isLgl/>
      <w:lvlText w:val="%1.%2.%3.%4.%5.%6."/>
      <w:lvlJc w:val="left"/>
      <w:pPr>
        <w:ind w:left="4965" w:hanging="1080"/>
      </w:pPr>
      <w:rPr>
        <w:rFonts w:cs="Times New Roman" w:hint="default"/>
      </w:rPr>
    </w:lvl>
    <w:lvl w:ilvl="6">
      <w:start w:val="1"/>
      <w:numFmt w:val="decimal"/>
      <w:isLgl/>
      <w:lvlText w:val="%1.%2.%3.%4.%5.%6.%7."/>
      <w:lvlJc w:val="left"/>
      <w:pPr>
        <w:ind w:left="6030" w:hanging="1440"/>
      </w:pPr>
      <w:rPr>
        <w:rFonts w:cs="Times New Roman" w:hint="default"/>
      </w:rPr>
    </w:lvl>
    <w:lvl w:ilvl="7">
      <w:start w:val="1"/>
      <w:numFmt w:val="decimal"/>
      <w:isLgl/>
      <w:lvlText w:val="%1.%2.%3.%4.%5.%6.%7.%8."/>
      <w:lvlJc w:val="left"/>
      <w:pPr>
        <w:ind w:left="6735" w:hanging="1440"/>
      </w:pPr>
      <w:rPr>
        <w:rFonts w:cs="Times New Roman" w:hint="default"/>
      </w:rPr>
    </w:lvl>
    <w:lvl w:ilvl="8">
      <w:start w:val="1"/>
      <w:numFmt w:val="decimal"/>
      <w:isLgl/>
      <w:lvlText w:val="%1.%2.%3.%4.%5.%6.%7.%8.%9."/>
      <w:lvlJc w:val="left"/>
      <w:pPr>
        <w:ind w:left="7800" w:hanging="1800"/>
      </w:pPr>
      <w:rPr>
        <w:rFonts w:cs="Times New Roman" w:hint="default"/>
      </w:rPr>
    </w:lvl>
  </w:abstractNum>
  <w:abstractNum w:abstractNumId="5" w15:restartNumberingAfterBreak="0">
    <w:nsid w:val="119A071A"/>
    <w:multiLevelType w:val="hybridMultilevel"/>
    <w:tmpl w:val="0EE23D1E"/>
    <w:lvl w:ilvl="0" w:tplc="35067208">
      <w:start w:val="1"/>
      <w:numFmt w:val="decimal"/>
      <w:lvlText w:val="%1."/>
      <w:lvlJc w:val="left"/>
      <w:pPr>
        <w:ind w:left="360" w:hanging="360"/>
      </w:pPr>
      <w:rPr>
        <w:rFonts w:asciiTheme="minorHAnsi" w:eastAsiaTheme="minorHAnsi" w:hAnsiTheme="minorHAnsi" w:cstheme="minorBidi"/>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6241817"/>
    <w:multiLevelType w:val="hybridMultilevel"/>
    <w:tmpl w:val="DC3A2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2556B"/>
    <w:multiLevelType w:val="hybridMultilevel"/>
    <w:tmpl w:val="FDF6890E"/>
    <w:lvl w:ilvl="0" w:tplc="583C7294">
      <w:start w:val="1"/>
      <w:numFmt w:val="decimal"/>
      <w:lvlText w:val="%1."/>
      <w:lvlJc w:val="left"/>
      <w:pPr>
        <w:ind w:left="-1062" w:hanging="360"/>
      </w:pPr>
      <w:rPr>
        <w:rFonts w:ascii="Times New Roman" w:eastAsiaTheme="minorHAnsi" w:hAnsi="Times New Roman" w:cs="Times New Roman" w:hint="default"/>
        <w:b w:val="0"/>
        <w:sz w:val="20"/>
        <w:szCs w:val="20"/>
      </w:rPr>
    </w:lvl>
    <w:lvl w:ilvl="1" w:tplc="041A0019" w:tentative="1">
      <w:start w:val="1"/>
      <w:numFmt w:val="lowerLetter"/>
      <w:lvlText w:val="%2."/>
      <w:lvlJc w:val="left"/>
      <w:pPr>
        <w:ind w:left="-342" w:hanging="360"/>
      </w:pPr>
    </w:lvl>
    <w:lvl w:ilvl="2" w:tplc="041A001B" w:tentative="1">
      <w:start w:val="1"/>
      <w:numFmt w:val="lowerRoman"/>
      <w:lvlText w:val="%3."/>
      <w:lvlJc w:val="right"/>
      <w:pPr>
        <w:ind w:left="378" w:hanging="180"/>
      </w:pPr>
    </w:lvl>
    <w:lvl w:ilvl="3" w:tplc="041A000F" w:tentative="1">
      <w:start w:val="1"/>
      <w:numFmt w:val="decimal"/>
      <w:lvlText w:val="%4."/>
      <w:lvlJc w:val="left"/>
      <w:pPr>
        <w:ind w:left="1098" w:hanging="360"/>
      </w:pPr>
    </w:lvl>
    <w:lvl w:ilvl="4" w:tplc="041A0019" w:tentative="1">
      <w:start w:val="1"/>
      <w:numFmt w:val="lowerLetter"/>
      <w:lvlText w:val="%5."/>
      <w:lvlJc w:val="left"/>
      <w:pPr>
        <w:ind w:left="1818" w:hanging="360"/>
      </w:pPr>
    </w:lvl>
    <w:lvl w:ilvl="5" w:tplc="041A001B" w:tentative="1">
      <w:start w:val="1"/>
      <w:numFmt w:val="lowerRoman"/>
      <w:lvlText w:val="%6."/>
      <w:lvlJc w:val="right"/>
      <w:pPr>
        <w:ind w:left="2538" w:hanging="180"/>
      </w:pPr>
    </w:lvl>
    <w:lvl w:ilvl="6" w:tplc="041A000F" w:tentative="1">
      <w:start w:val="1"/>
      <w:numFmt w:val="decimal"/>
      <w:lvlText w:val="%7."/>
      <w:lvlJc w:val="left"/>
      <w:pPr>
        <w:ind w:left="3258" w:hanging="360"/>
      </w:pPr>
    </w:lvl>
    <w:lvl w:ilvl="7" w:tplc="041A0019" w:tentative="1">
      <w:start w:val="1"/>
      <w:numFmt w:val="lowerLetter"/>
      <w:lvlText w:val="%8."/>
      <w:lvlJc w:val="left"/>
      <w:pPr>
        <w:ind w:left="3978" w:hanging="360"/>
      </w:pPr>
    </w:lvl>
    <w:lvl w:ilvl="8" w:tplc="041A001B" w:tentative="1">
      <w:start w:val="1"/>
      <w:numFmt w:val="lowerRoman"/>
      <w:lvlText w:val="%9."/>
      <w:lvlJc w:val="right"/>
      <w:pPr>
        <w:ind w:left="4698" w:hanging="180"/>
      </w:pPr>
    </w:lvl>
  </w:abstractNum>
  <w:abstractNum w:abstractNumId="8" w15:restartNumberingAfterBreak="0">
    <w:nsid w:val="1DE5234A"/>
    <w:multiLevelType w:val="hybridMultilevel"/>
    <w:tmpl w:val="73A28B62"/>
    <w:lvl w:ilvl="0" w:tplc="FDDA58C8">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DEB4D45"/>
    <w:multiLevelType w:val="hybridMultilevel"/>
    <w:tmpl w:val="17D83864"/>
    <w:lvl w:ilvl="0" w:tplc="171859A2">
      <w:start w:val="3"/>
      <w:numFmt w:val="bullet"/>
      <w:lvlText w:val="-"/>
      <w:lvlJc w:val="left"/>
      <w:pPr>
        <w:ind w:left="720" w:hanging="360"/>
      </w:pPr>
      <w:rPr>
        <w:rFonts w:ascii="Times New Roman" w:eastAsia="MS Mincho"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E149E2"/>
    <w:multiLevelType w:val="hybridMultilevel"/>
    <w:tmpl w:val="3612B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443A15"/>
    <w:multiLevelType w:val="hybridMultilevel"/>
    <w:tmpl w:val="34C86150"/>
    <w:lvl w:ilvl="0" w:tplc="041A000F">
      <w:start w:val="1"/>
      <w:numFmt w:val="decimal"/>
      <w:lvlText w:val="%1."/>
      <w:lvlJc w:val="left"/>
      <w:pPr>
        <w:ind w:left="360" w:hanging="360"/>
      </w:pPr>
      <w:rPr>
        <w:rFonts w:cs="Times New Roman"/>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2" w15:restartNumberingAfterBreak="0">
    <w:nsid w:val="475A01A8"/>
    <w:multiLevelType w:val="hybridMultilevel"/>
    <w:tmpl w:val="521C76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185EB9"/>
    <w:multiLevelType w:val="multilevel"/>
    <w:tmpl w:val="778CC730"/>
    <w:lvl w:ilvl="0">
      <w:start w:val="1"/>
      <w:numFmt w:val="decimal"/>
      <w:pStyle w:val="mjera"/>
      <w:lvlText w:val="%1."/>
      <w:lvlJc w:val="left"/>
      <w:pPr>
        <w:tabs>
          <w:tab w:val="num" w:pos="360"/>
        </w:tabs>
        <w:ind w:left="360" w:hanging="360"/>
      </w:pPr>
      <w:rPr>
        <w:rFonts w:cs="Times New Roman"/>
      </w:rPr>
    </w:lvl>
    <w:lvl w:ilvl="1">
      <w:start w:val="1"/>
      <w:numFmt w:val="decimal"/>
      <w:pStyle w:val="numberingutablici"/>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4FFF2759"/>
    <w:multiLevelType w:val="hybridMultilevel"/>
    <w:tmpl w:val="86584C8C"/>
    <w:lvl w:ilvl="0" w:tplc="16865170">
      <w:start w:val="1"/>
      <w:numFmt w:val="bullet"/>
      <w:lvlText w:val=""/>
      <w:lvlJc w:val="left"/>
      <w:pPr>
        <w:tabs>
          <w:tab w:val="num" w:pos="720"/>
        </w:tabs>
        <w:ind w:left="720" w:hanging="360"/>
      </w:pPr>
      <w:rPr>
        <w:rFonts w:ascii="Wingdings" w:hAnsi="Wingdings" w:hint="default"/>
      </w:rPr>
    </w:lvl>
    <w:lvl w:ilvl="1" w:tplc="B45E32D8">
      <w:start w:val="169"/>
      <w:numFmt w:val="bullet"/>
      <w:lvlText w:val="–"/>
      <w:lvlJc w:val="left"/>
      <w:pPr>
        <w:tabs>
          <w:tab w:val="num" w:pos="1440"/>
        </w:tabs>
        <w:ind w:left="1440" w:hanging="360"/>
      </w:pPr>
      <w:rPr>
        <w:rFonts w:ascii="Times New Roman" w:hAnsi="Times New Roman" w:hint="default"/>
      </w:rPr>
    </w:lvl>
    <w:lvl w:ilvl="2" w:tplc="DF729C0A" w:tentative="1">
      <w:start w:val="1"/>
      <w:numFmt w:val="bullet"/>
      <w:lvlText w:val=""/>
      <w:lvlJc w:val="left"/>
      <w:pPr>
        <w:tabs>
          <w:tab w:val="num" w:pos="2160"/>
        </w:tabs>
        <w:ind w:left="2160" w:hanging="360"/>
      </w:pPr>
      <w:rPr>
        <w:rFonts w:ascii="Wingdings" w:hAnsi="Wingdings" w:hint="default"/>
      </w:rPr>
    </w:lvl>
    <w:lvl w:ilvl="3" w:tplc="A54A712A" w:tentative="1">
      <w:start w:val="1"/>
      <w:numFmt w:val="bullet"/>
      <w:lvlText w:val=""/>
      <w:lvlJc w:val="left"/>
      <w:pPr>
        <w:tabs>
          <w:tab w:val="num" w:pos="2880"/>
        </w:tabs>
        <w:ind w:left="2880" w:hanging="360"/>
      </w:pPr>
      <w:rPr>
        <w:rFonts w:ascii="Wingdings" w:hAnsi="Wingdings" w:hint="default"/>
      </w:rPr>
    </w:lvl>
    <w:lvl w:ilvl="4" w:tplc="F08CD69E" w:tentative="1">
      <w:start w:val="1"/>
      <w:numFmt w:val="bullet"/>
      <w:lvlText w:val=""/>
      <w:lvlJc w:val="left"/>
      <w:pPr>
        <w:tabs>
          <w:tab w:val="num" w:pos="3600"/>
        </w:tabs>
        <w:ind w:left="3600" w:hanging="360"/>
      </w:pPr>
      <w:rPr>
        <w:rFonts w:ascii="Wingdings" w:hAnsi="Wingdings" w:hint="default"/>
      </w:rPr>
    </w:lvl>
    <w:lvl w:ilvl="5" w:tplc="E7124198" w:tentative="1">
      <w:start w:val="1"/>
      <w:numFmt w:val="bullet"/>
      <w:lvlText w:val=""/>
      <w:lvlJc w:val="left"/>
      <w:pPr>
        <w:tabs>
          <w:tab w:val="num" w:pos="4320"/>
        </w:tabs>
        <w:ind w:left="4320" w:hanging="360"/>
      </w:pPr>
      <w:rPr>
        <w:rFonts w:ascii="Wingdings" w:hAnsi="Wingdings" w:hint="default"/>
      </w:rPr>
    </w:lvl>
    <w:lvl w:ilvl="6" w:tplc="F2A42450" w:tentative="1">
      <w:start w:val="1"/>
      <w:numFmt w:val="bullet"/>
      <w:lvlText w:val=""/>
      <w:lvlJc w:val="left"/>
      <w:pPr>
        <w:tabs>
          <w:tab w:val="num" w:pos="5040"/>
        </w:tabs>
        <w:ind w:left="5040" w:hanging="360"/>
      </w:pPr>
      <w:rPr>
        <w:rFonts w:ascii="Wingdings" w:hAnsi="Wingdings" w:hint="default"/>
      </w:rPr>
    </w:lvl>
    <w:lvl w:ilvl="7" w:tplc="7D04A04E" w:tentative="1">
      <w:start w:val="1"/>
      <w:numFmt w:val="bullet"/>
      <w:lvlText w:val=""/>
      <w:lvlJc w:val="left"/>
      <w:pPr>
        <w:tabs>
          <w:tab w:val="num" w:pos="5760"/>
        </w:tabs>
        <w:ind w:left="5760" w:hanging="360"/>
      </w:pPr>
      <w:rPr>
        <w:rFonts w:ascii="Wingdings" w:hAnsi="Wingdings" w:hint="default"/>
      </w:rPr>
    </w:lvl>
    <w:lvl w:ilvl="8" w:tplc="78FCDA0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62AD5"/>
    <w:multiLevelType w:val="hybridMultilevel"/>
    <w:tmpl w:val="D2EC62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E25909"/>
    <w:multiLevelType w:val="hybridMultilevel"/>
    <w:tmpl w:val="CCAC8D76"/>
    <w:lvl w:ilvl="0" w:tplc="6610CE6E">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CC956DE"/>
    <w:multiLevelType w:val="multilevel"/>
    <w:tmpl w:val="B8FE8A14"/>
    <w:lvl w:ilvl="0">
      <w:start w:val="4"/>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8" w15:restartNumberingAfterBreak="0">
    <w:nsid w:val="5FBD0E86"/>
    <w:multiLevelType w:val="hybridMultilevel"/>
    <w:tmpl w:val="677218EA"/>
    <w:lvl w:ilvl="0" w:tplc="E3189BA4">
      <w:numFmt w:val="bullet"/>
      <w:lvlText w:val="•"/>
      <w:lvlJc w:val="left"/>
      <w:pPr>
        <w:ind w:left="720" w:hanging="360"/>
      </w:pPr>
      <w:rPr>
        <w:rFonts w:ascii="Times New Roman" w:eastAsia="MS Mincho"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D1298A"/>
    <w:multiLevelType w:val="hybridMultilevel"/>
    <w:tmpl w:val="CCAC8D76"/>
    <w:lvl w:ilvl="0" w:tplc="6610CE6E">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B2B6D8F"/>
    <w:multiLevelType w:val="hybridMultilevel"/>
    <w:tmpl w:val="B48A8C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D3D727B"/>
    <w:multiLevelType w:val="multilevel"/>
    <w:tmpl w:val="57C0F5D8"/>
    <w:lvl w:ilvl="0">
      <w:start w:val="4"/>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7D4C23AB"/>
    <w:multiLevelType w:val="hybridMultilevel"/>
    <w:tmpl w:val="0EE23D1E"/>
    <w:lvl w:ilvl="0" w:tplc="35067208">
      <w:start w:val="1"/>
      <w:numFmt w:val="decimal"/>
      <w:lvlText w:val="%1."/>
      <w:lvlJc w:val="left"/>
      <w:pPr>
        <w:ind w:left="360" w:hanging="360"/>
      </w:pPr>
      <w:rPr>
        <w:rFonts w:asciiTheme="minorHAnsi" w:eastAsiaTheme="minorHAnsi" w:hAnsiTheme="minorHAnsi" w:cstheme="minorBidi"/>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E640F4E"/>
    <w:multiLevelType w:val="multilevel"/>
    <w:tmpl w:val="18BAF04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FE8314B"/>
    <w:multiLevelType w:val="hybridMultilevel"/>
    <w:tmpl w:val="FDF6890E"/>
    <w:lvl w:ilvl="0" w:tplc="583C7294">
      <w:start w:val="1"/>
      <w:numFmt w:val="decimal"/>
      <w:lvlText w:val="%1."/>
      <w:lvlJc w:val="left"/>
      <w:pPr>
        <w:ind w:left="626" w:hanging="360"/>
      </w:pPr>
      <w:rPr>
        <w:rFonts w:ascii="Times New Roman" w:eastAsiaTheme="minorHAnsi" w:hAnsi="Times New Roman" w:cs="Times New Roman" w:hint="default"/>
        <w:b w:val="0"/>
        <w:sz w:val="20"/>
        <w:szCs w:val="20"/>
      </w:rPr>
    </w:lvl>
    <w:lvl w:ilvl="1" w:tplc="041A0019" w:tentative="1">
      <w:start w:val="1"/>
      <w:numFmt w:val="lowerLetter"/>
      <w:lvlText w:val="%2."/>
      <w:lvlJc w:val="left"/>
      <w:pPr>
        <w:ind w:left="1346" w:hanging="360"/>
      </w:pPr>
    </w:lvl>
    <w:lvl w:ilvl="2" w:tplc="041A001B" w:tentative="1">
      <w:start w:val="1"/>
      <w:numFmt w:val="lowerRoman"/>
      <w:lvlText w:val="%3."/>
      <w:lvlJc w:val="right"/>
      <w:pPr>
        <w:ind w:left="2066" w:hanging="180"/>
      </w:pPr>
    </w:lvl>
    <w:lvl w:ilvl="3" w:tplc="041A000F" w:tentative="1">
      <w:start w:val="1"/>
      <w:numFmt w:val="decimal"/>
      <w:lvlText w:val="%4."/>
      <w:lvlJc w:val="left"/>
      <w:pPr>
        <w:ind w:left="2786" w:hanging="360"/>
      </w:pPr>
    </w:lvl>
    <w:lvl w:ilvl="4" w:tplc="041A0019" w:tentative="1">
      <w:start w:val="1"/>
      <w:numFmt w:val="lowerLetter"/>
      <w:lvlText w:val="%5."/>
      <w:lvlJc w:val="left"/>
      <w:pPr>
        <w:ind w:left="3506" w:hanging="360"/>
      </w:pPr>
    </w:lvl>
    <w:lvl w:ilvl="5" w:tplc="041A001B" w:tentative="1">
      <w:start w:val="1"/>
      <w:numFmt w:val="lowerRoman"/>
      <w:lvlText w:val="%6."/>
      <w:lvlJc w:val="right"/>
      <w:pPr>
        <w:ind w:left="4226" w:hanging="180"/>
      </w:pPr>
    </w:lvl>
    <w:lvl w:ilvl="6" w:tplc="041A000F" w:tentative="1">
      <w:start w:val="1"/>
      <w:numFmt w:val="decimal"/>
      <w:lvlText w:val="%7."/>
      <w:lvlJc w:val="left"/>
      <w:pPr>
        <w:ind w:left="4946" w:hanging="360"/>
      </w:pPr>
    </w:lvl>
    <w:lvl w:ilvl="7" w:tplc="041A0019" w:tentative="1">
      <w:start w:val="1"/>
      <w:numFmt w:val="lowerLetter"/>
      <w:lvlText w:val="%8."/>
      <w:lvlJc w:val="left"/>
      <w:pPr>
        <w:ind w:left="5666" w:hanging="360"/>
      </w:pPr>
    </w:lvl>
    <w:lvl w:ilvl="8" w:tplc="041A001B" w:tentative="1">
      <w:start w:val="1"/>
      <w:numFmt w:val="lowerRoman"/>
      <w:lvlText w:val="%9."/>
      <w:lvlJc w:val="right"/>
      <w:pPr>
        <w:ind w:left="6386" w:hanging="180"/>
      </w:pPr>
    </w:lvl>
  </w:abstractNum>
  <w:num w:numId="1">
    <w:abstractNumId w:val="3"/>
  </w:num>
  <w:num w:numId="2">
    <w:abstractNumId w:val="2"/>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23"/>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0"/>
  </w:num>
  <w:num w:numId="12">
    <w:abstractNumId w:val="22"/>
  </w:num>
  <w:num w:numId="13">
    <w:abstractNumId w:val="19"/>
  </w:num>
  <w:num w:numId="14">
    <w:abstractNumId w:val="5"/>
  </w:num>
  <w:num w:numId="15">
    <w:abstractNumId w:val="7"/>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6"/>
  </w:num>
  <w:num w:numId="27">
    <w:abstractNumId w:val="20"/>
  </w:num>
  <w:num w:numId="28">
    <w:abstractNumId w:val="18"/>
  </w:num>
  <w:num w:numId="29">
    <w:abstractNumId w:val="16"/>
  </w:num>
  <w:num w:numId="30">
    <w:abstractNumId w:val="24"/>
  </w:num>
  <w:num w:numId="31">
    <w:abstractNumId w:val="1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8"/>
    <w:rsid w:val="00004C70"/>
    <w:rsid w:val="0001449F"/>
    <w:rsid w:val="000426A8"/>
    <w:rsid w:val="000558AF"/>
    <w:rsid w:val="00065C3C"/>
    <w:rsid w:val="00080D4A"/>
    <w:rsid w:val="00081E7C"/>
    <w:rsid w:val="00082B3B"/>
    <w:rsid w:val="0009156A"/>
    <w:rsid w:val="000B3D12"/>
    <w:rsid w:val="000C4071"/>
    <w:rsid w:val="000E01FC"/>
    <w:rsid w:val="000E47D0"/>
    <w:rsid w:val="0011787E"/>
    <w:rsid w:val="001353C0"/>
    <w:rsid w:val="00150799"/>
    <w:rsid w:val="00166015"/>
    <w:rsid w:val="00172535"/>
    <w:rsid w:val="00173617"/>
    <w:rsid w:val="00173835"/>
    <w:rsid w:val="001D3297"/>
    <w:rsid w:val="001F1B66"/>
    <w:rsid w:val="001F4E24"/>
    <w:rsid w:val="00210BD0"/>
    <w:rsid w:val="00215C78"/>
    <w:rsid w:val="00222D02"/>
    <w:rsid w:val="002623FA"/>
    <w:rsid w:val="00266A7F"/>
    <w:rsid w:val="0029311B"/>
    <w:rsid w:val="00296EF1"/>
    <w:rsid w:val="002C5D1B"/>
    <w:rsid w:val="002D1940"/>
    <w:rsid w:val="002D6C44"/>
    <w:rsid w:val="003025D2"/>
    <w:rsid w:val="00314672"/>
    <w:rsid w:val="0031515B"/>
    <w:rsid w:val="00326C32"/>
    <w:rsid w:val="00331DB2"/>
    <w:rsid w:val="003437B0"/>
    <w:rsid w:val="003456B2"/>
    <w:rsid w:val="003556CE"/>
    <w:rsid w:val="00361016"/>
    <w:rsid w:val="00371385"/>
    <w:rsid w:val="00372D5B"/>
    <w:rsid w:val="00381A03"/>
    <w:rsid w:val="003911FF"/>
    <w:rsid w:val="00395F72"/>
    <w:rsid w:val="003C48B9"/>
    <w:rsid w:val="003C6CAD"/>
    <w:rsid w:val="003C726E"/>
    <w:rsid w:val="003E7AEA"/>
    <w:rsid w:val="003F197E"/>
    <w:rsid w:val="0040118E"/>
    <w:rsid w:val="00417811"/>
    <w:rsid w:val="00422895"/>
    <w:rsid w:val="0042447F"/>
    <w:rsid w:val="00424DD9"/>
    <w:rsid w:val="00441BE1"/>
    <w:rsid w:val="004503DF"/>
    <w:rsid w:val="004525BE"/>
    <w:rsid w:val="00456C94"/>
    <w:rsid w:val="00462704"/>
    <w:rsid w:val="00464307"/>
    <w:rsid w:val="004B0F4A"/>
    <w:rsid w:val="004B3F11"/>
    <w:rsid w:val="004C090E"/>
    <w:rsid w:val="004D0FB9"/>
    <w:rsid w:val="004D310D"/>
    <w:rsid w:val="004D36DD"/>
    <w:rsid w:val="004D4B9B"/>
    <w:rsid w:val="004D5578"/>
    <w:rsid w:val="004E191F"/>
    <w:rsid w:val="004F2BA9"/>
    <w:rsid w:val="00500FCB"/>
    <w:rsid w:val="005019C5"/>
    <w:rsid w:val="005166E3"/>
    <w:rsid w:val="00531EF3"/>
    <w:rsid w:val="00532925"/>
    <w:rsid w:val="00535FBE"/>
    <w:rsid w:val="0055010C"/>
    <w:rsid w:val="00560DA6"/>
    <w:rsid w:val="00576F72"/>
    <w:rsid w:val="005906C9"/>
    <w:rsid w:val="005A20D9"/>
    <w:rsid w:val="005C68F3"/>
    <w:rsid w:val="005E60F7"/>
    <w:rsid w:val="005F6725"/>
    <w:rsid w:val="00604004"/>
    <w:rsid w:val="00606E36"/>
    <w:rsid w:val="00612B3A"/>
    <w:rsid w:val="00612D13"/>
    <w:rsid w:val="00673AE8"/>
    <w:rsid w:val="00677364"/>
    <w:rsid w:val="00677C3D"/>
    <w:rsid w:val="00680DB9"/>
    <w:rsid w:val="006A1B14"/>
    <w:rsid w:val="006A272C"/>
    <w:rsid w:val="006A3DC6"/>
    <w:rsid w:val="006A453E"/>
    <w:rsid w:val="006B0C4E"/>
    <w:rsid w:val="006E78E3"/>
    <w:rsid w:val="006E7D55"/>
    <w:rsid w:val="006F21DE"/>
    <w:rsid w:val="007110CE"/>
    <w:rsid w:val="00717276"/>
    <w:rsid w:val="0071769C"/>
    <w:rsid w:val="0072297B"/>
    <w:rsid w:val="007951BF"/>
    <w:rsid w:val="007A34A6"/>
    <w:rsid w:val="007A3EED"/>
    <w:rsid w:val="007B1F5A"/>
    <w:rsid w:val="007C2EB8"/>
    <w:rsid w:val="007D4508"/>
    <w:rsid w:val="007F622E"/>
    <w:rsid w:val="00802F5A"/>
    <w:rsid w:val="00804575"/>
    <w:rsid w:val="00816EE4"/>
    <w:rsid w:val="008175CA"/>
    <w:rsid w:val="0082587E"/>
    <w:rsid w:val="0083008B"/>
    <w:rsid w:val="008421A6"/>
    <w:rsid w:val="00843197"/>
    <w:rsid w:val="00850E77"/>
    <w:rsid w:val="00865A78"/>
    <w:rsid w:val="00867C72"/>
    <w:rsid w:val="00867EB4"/>
    <w:rsid w:val="00886458"/>
    <w:rsid w:val="00887EAD"/>
    <w:rsid w:val="00890E60"/>
    <w:rsid w:val="008B1315"/>
    <w:rsid w:val="008B279A"/>
    <w:rsid w:val="008B376D"/>
    <w:rsid w:val="008C100C"/>
    <w:rsid w:val="008C2507"/>
    <w:rsid w:val="008E1336"/>
    <w:rsid w:val="008F3A2B"/>
    <w:rsid w:val="00923CDB"/>
    <w:rsid w:val="00926DE8"/>
    <w:rsid w:val="00944BD8"/>
    <w:rsid w:val="00952A25"/>
    <w:rsid w:val="00956AEA"/>
    <w:rsid w:val="0096764C"/>
    <w:rsid w:val="00970D1A"/>
    <w:rsid w:val="00984C58"/>
    <w:rsid w:val="0098624F"/>
    <w:rsid w:val="00990B02"/>
    <w:rsid w:val="009A05C6"/>
    <w:rsid w:val="009A2F5F"/>
    <w:rsid w:val="009E0222"/>
    <w:rsid w:val="009E5F77"/>
    <w:rsid w:val="009F2BD7"/>
    <w:rsid w:val="00A07065"/>
    <w:rsid w:val="00A1356F"/>
    <w:rsid w:val="00A1420A"/>
    <w:rsid w:val="00A26A8B"/>
    <w:rsid w:val="00A31599"/>
    <w:rsid w:val="00A36790"/>
    <w:rsid w:val="00A40FDA"/>
    <w:rsid w:val="00A6283D"/>
    <w:rsid w:val="00A73968"/>
    <w:rsid w:val="00A878F8"/>
    <w:rsid w:val="00AA1AD5"/>
    <w:rsid w:val="00AA2E1E"/>
    <w:rsid w:val="00AA4839"/>
    <w:rsid w:val="00AD50F3"/>
    <w:rsid w:val="00AE4757"/>
    <w:rsid w:val="00AE7DE3"/>
    <w:rsid w:val="00B00A5C"/>
    <w:rsid w:val="00B110D6"/>
    <w:rsid w:val="00B428CA"/>
    <w:rsid w:val="00B46221"/>
    <w:rsid w:val="00B50325"/>
    <w:rsid w:val="00B71496"/>
    <w:rsid w:val="00B906C7"/>
    <w:rsid w:val="00BA158C"/>
    <w:rsid w:val="00BA678D"/>
    <w:rsid w:val="00BB4D23"/>
    <w:rsid w:val="00BC1AE8"/>
    <w:rsid w:val="00C00A14"/>
    <w:rsid w:val="00C029B0"/>
    <w:rsid w:val="00C05F1B"/>
    <w:rsid w:val="00C07DE3"/>
    <w:rsid w:val="00C149B7"/>
    <w:rsid w:val="00C228E3"/>
    <w:rsid w:val="00C25712"/>
    <w:rsid w:val="00C31EFA"/>
    <w:rsid w:val="00C53B0E"/>
    <w:rsid w:val="00C62AEA"/>
    <w:rsid w:val="00C72F9F"/>
    <w:rsid w:val="00C8280D"/>
    <w:rsid w:val="00C82A35"/>
    <w:rsid w:val="00C85C4D"/>
    <w:rsid w:val="00C86BD2"/>
    <w:rsid w:val="00C969C1"/>
    <w:rsid w:val="00CA3284"/>
    <w:rsid w:val="00CC40CF"/>
    <w:rsid w:val="00CD14B7"/>
    <w:rsid w:val="00CE6B2E"/>
    <w:rsid w:val="00CF79F5"/>
    <w:rsid w:val="00D0021A"/>
    <w:rsid w:val="00D102EB"/>
    <w:rsid w:val="00D17533"/>
    <w:rsid w:val="00D367D7"/>
    <w:rsid w:val="00D373E6"/>
    <w:rsid w:val="00D45121"/>
    <w:rsid w:val="00D46B1F"/>
    <w:rsid w:val="00D743F3"/>
    <w:rsid w:val="00D7771B"/>
    <w:rsid w:val="00D82246"/>
    <w:rsid w:val="00D90A09"/>
    <w:rsid w:val="00D919A1"/>
    <w:rsid w:val="00DC152C"/>
    <w:rsid w:val="00DE44AA"/>
    <w:rsid w:val="00DF2362"/>
    <w:rsid w:val="00E02FD0"/>
    <w:rsid w:val="00E05FC9"/>
    <w:rsid w:val="00E15FD0"/>
    <w:rsid w:val="00E21088"/>
    <w:rsid w:val="00E2183B"/>
    <w:rsid w:val="00E318B6"/>
    <w:rsid w:val="00E47EAD"/>
    <w:rsid w:val="00E50863"/>
    <w:rsid w:val="00E63ECD"/>
    <w:rsid w:val="00E710AC"/>
    <w:rsid w:val="00E8271E"/>
    <w:rsid w:val="00E8527D"/>
    <w:rsid w:val="00E91A9F"/>
    <w:rsid w:val="00EB1DFF"/>
    <w:rsid w:val="00ED17BB"/>
    <w:rsid w:val="00ED2DDC"/>
    <w:rsid w:val="00ED3A2D"/>
    <w:rsid w:val="00ED47A3"/>
    <w:rsid w:val="00EE1DF9"/>
    <w:rsid w:val="00EE403A"/>
    <w:rsid w:val="00EE443E"/>
    <w:rsid w:val="00EF0718"/>
    <w:rsid w:val="00EF09B4"/>
    <w:rsid w:val="00EF60E4"/>
    <w:rsid w:val="00F0251C"/>
    <w:rsid w:val="00F0256E"/>
    <w:rsid w:val="00F02E5E"/>
    <w:rsid w:val="00F154CE"/>
    <w:rsid w:val="00F33427"/>
    <w:rsid w:val="00F409B3"/>
    <w:rsid w:val="00F4309F"/>
    <w:rsid w:val="00F430A9"/>
    <w:rsid w:val="00F554A3"/>
    <w:rsid w:val="00F55B55"/>
    <w:rsid w:val="00F5710F"/>
    <w:rsid w:val="00FA1365"/>
    <w:rsid w:val="00FB1A8E"/>
    <w:rsid w:val="00FB55A6"/>
    <w:rsid w:val="00FC0680"/>
    <w:rsid w:val="00FE0C9C"/>
    <w:rsid w:val="00FE7AEB"/>
    <w:rsid w:val="00FF5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B813-C156-445D-9B30-BB57AD46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6C7"/>
    <w:pPr>
      <w:spacing w:after="0" w:line="240" w:lineRule="auto"/>
    </w:pPr>
    <w:rPr>
      <w:rFonts w:ascii="Times New Roman" w:eastAsia="MS Mincho" w:hAnsi="Times New Roman" w:cs="Times New Roman"/>
      <w:sz w:val="24"/>
      <w:szCs w:val="24"/>
      <w:lang w:eastAsia="ja-JP"/>
    </w:rPr>
  </w:style>
  <w:style w:type="paragraph" w:styleId="Naslov1">
    <w:name w:val="heading 1"/>
    <w:basedOn w:val="Normal"/>
    <w:next w:val="Normal"/>
    <w:link w:val="Naslov1Char"/>
    <w:uiPriority w:val="9"/>
    <w:qFormat/>
    <w:rsid w:val="00952A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B4D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422895"/>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984C58"/>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984C58"/>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984C58"/>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984C5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984C5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984C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7D4508"/>
    <w:pPr>
      <w:tabs>
        <w:tab w:val="center" w:pos="4536"/>
        <w:tab w:val="right" w:pos="9072"/>
      </w:tabs>
    </w:pPr>
  </w:style>
  <w:style w:type="character" w:customStyle="1" w:styleId="PodnojeChar">
    <w:name w:val="Podnožje Char"/>
    <w:basedOn w:val="Zadanifontodlomka"/>
    <w:link w:val="Podnoje"/>
    <w:uiPriority w:val="99"/>
    <w:rsid w:val="007D4508"/>
    <w:rPr>
      <w:rFonts w:ascii="Times New Roman" w:eastAsia="MS Mincho" w:hAnsi="Times New Roman" w:cs="Times New Roman"/>
      <w:sz w:val="24"/>
      <w:szCs w:val="24"/>
      <w:lang w:eastAsia="ja-JP"/>
    </w:rPr>
  </w:style>
  <w:style w:type="character" w:styleId="Brojstranice">
    <w:name w:val="page number"/>
    <w:uiPriority w:val="99"/>
    <w:rsid w:val="007D4508"/>
    <w:rPr>
      <w:rFonts w:cs="Times New Roman"/>
    </w:rPr>
  </w:style>
  <w:style w:type="paragraph" w:styleId="Sadraj1">
    <w:name w:val="toc 1"/>
    <w:basedOn w:val="Normal"/>
    <w:next w:val="Normal"/>
    <w:autoRedefine/>
    <w:uiPriority w:val="39"/>
    <w:rsid w:val="007D4508"/>
    <w:pPr>
      <w:tabs>
        <w:tab w:val="left" w:pos="480"/>
        <w:tab w:val="right" w:leader="dot" w:pos="9062"/>
      </w:tabs>
    </w:pPr>
  </w:style>
  <w:style w:type="character" w:styleId="Hiperveza">
    <w:name w:val="Hyperlink"/>
    <w:uiPriority w:val="99"/>
    <w:rsid w:val="007D4508"/>
    <w:rPr>
      <w:color w:val="0000FF"/>
      <w:u w:val="single"/>
    </w:rPr>
  </w:style>
  <w:style w:type="paragraph" w:styleId="Sadraj2">
    <w:name w:val="toc 2"/>
    <w:basedOn w:val="Normal"/>
    <w:next w:val="Normal"/>
    <w:autoRedefine/>
    <w:uiPriority w:val="39"/>
    <w:rsid w:val="007D4508"/>
    <w:pPr>
      <w:ind w:left="240"/>
    </w:pPr>
  </w:style>
  <w:style w:type="paragraph" w:styleId="Sadraj3">
    <w:name w:val="toc 3"/>
    <w:basedOn w:val="Normal"/>
    <w:next w:val="Normal"/>
    <w:autoRedefine/>
    <w:uiPriority w:val="39"/>
    <w:rsid w:val="007D4508"/>
    <w:pPr>
      <w:ind w:left="480"/>
    </w:pPr>
  </w:style>
  <w:style w:type="paragraph" w:styleId="Zaglavlje">
    <w:name w:val="header"/>
    <w:basedOn w:val="Normal"/>
    <w:link w:val="ZaglavljeChar"/>
    <w:uiPriority w:val="99"/>
    <w:rsid w:val="007D4508"/>
    <w:pPr>
      <w:tabs>
        <w:tab w:val="center" w:pos="4536"/>
        <w:tab w:val="right" w:pos="9072"/>
      </w:tabs>
    </w:pPr>
  </w:style>
  <w:style w:type="character" w:customStyle="1" w:styleId="ZaglavljeChar">
    <w:name w:val="Zaglavlje Char"/>
    <w:basedOn w:val="Zadanifontodlomka"/>
    <w:link w:val="Zaglavlje"/>
    <w:uiPriority w:val="99"/>
    <w:rsid w:val="007D4508"/>
    <w:rPr>
      <w:rFonts w:ascii="Times New Roman" w:eastAsia="MS Mincho" w:hAnsi="Times New Roman" w:cs="Times New Roman"/>
      <w:sz w:val="24"/>
      <w:szCs w:val="24"/>
      <w:lang w:eastAsia="ja-JP"/>
    </w:rPr>
  </w:style>
  <w:style w:type="paragraph" w:styleId="Tijeloteksta">
    <w:name w:val="Body Text"/>
    <w:basedOn w:val="Normal"/>
    <w:link w:val="TijelotekstaChar"/>
    <w:uiPriority w:val="99"/>
    <w:rsid w:val="007D4508"/>
    <w:pPr>
      <w:spacing w:after="120"/>
    </w:pPr>
    <w:rPr>
      <w:lang w:eastAsia="hr-HR"/>
    </w:rPr>
  </w:style>
  <w:style w:type="character" w:customStyle="1" w:styleId="TijelotekstaChar">
    <w:name w:val="Tijelo teksta Char"/>
    <w:basedOn w:val="Zadanifontodlomka"/>
    <w:link w:val="Tijeloteksta"/>
    <w:uiPriority w:val="99"/>
    <w:rsid w:val="007D4508"/>
    <w:rPr>
      <w:rFonts w:ascii="Times New Roman" w:eastAsia="MS Mincho" w:hAnsi="Times New Roman" w:cs="Times New Roman"/>
      <w:sz w:val="24"/>
      <w:szCs w:val="24"/>
      <w:lang w:eastAsia="hr-HR"/>
    </w:rPr>
  </w:style>
  <w:style w:type="paragraph" w:customStyle="1" w:styleId="numberingutablici">
    <w:name w:val="numbering u tablici"/>
    <w:basedOn w:val="Normal"/>
    <w:rsid w:val="007D4508"/>
    <w:pPr>
      <w:numPr>
        <w:ilvl w:val="1"/>
        <w:numId w:val="4"/>
      </w:numPr>
      <w:tabs>
        <w:tab w:val="clear" w:pos="360"/>
        <w:tab w:val="num" w:pos="796"/>
      </w:tabs>
      <w:ind w:left="796" w:hanging="796"/>
      <w:jc w:val="both"/>
    </w:pPr>
    <w:rPr>
      <w:lang w:eastAsia="hr-HR"/>
    </w:rPr>
  </w:style>
  <w:style w:type="paragraph" w:customStyle="1" w:styleId="mjera">
    <w:name w:val="mjera"/>
    <w:basedOn w:val="Normal"/>
    <w:autoRedefine/>
    <w:rsid w:val="007D4508"/>
    <w:pPr>
      <w:numPr>
        <w:numId w:val="4"/>
      </w:numPr>
      <w:jc w:val="both"/>
    </w:pPr>
    <w:rPr>
      <w:b/>
      <w:bCs/>
      <w:i/>
      <w:iCs/>
      <w:lang w:eastAsia="hr-HR"/>
    </w:rPr>
  </w:style>
  <w:style w:type="paragraph" w:styleId="Kartadokumenta">
    <w:name w:val="Document Map"/>
    <w:basedOn w:val="Normal"/>
    <w:link w:val="KartadokumentaChar"/>
    <w:uiPriority w:val="99"/>
    <w:semiHidden/>
    <w:rsid w:val="007D4508"/>
    <w:pPr>
      <w:shd w:val="clear" w:color="auto" w:fill="000080"/>
    </w:pPr>
    <w:rPr>
      <w:rFonts w:ascii="Tahoma" w:hAnsi="Tahoma" w:cs="Tahoma"/>
    </w:rPr>
  </w:style>
  <w:style w:type="character" w:customStyle="1" w:styleId="KartadokumentaChar">
    <w:name w:val="Karta dokumenta Char"/>
    <w:basedOn w:val="Zadanifontodlomka"/>
    <w:link w:val="Kartadokumenta"/>
    <w:uiPriority w:val="99"/>
    <w:semiHidden/>
    <w:rsid w:val="007D4508"/>
    <w:rPr>
      <w:rFonts w:ascii="Tahoma" w:eastAsia="MS Mincho" w:hAnsi="Tahoma" w:cs="Tahoma"/>
      <w:sz w:val="24"/>
      <w:szCs w:val="24"/>
      <w:shd w:val="clear" w:color="auto" w:fill="000080"/>
      <w:lang w:eastAsia="ja-JP"/>
    </w:rPr>
  </w:style>
  <w:style w:type="paragraph" w:styleId="Tekstbalonia">
    <w:name w:val="Balloon Text"/>
    <w:basedOn w:val="Normal"/>
    <w:link w:val="TekstbaloniaChar"/>
    <w:uiPriority w:val="99"/>
    <w:semiHidden/>
    <w:rsid w:val="007D4508"/>
    <w:rPr>
      <w:rFonts w:ascii="Tahoma" w:hAnsi="Tahoma" w:cs="Tahoma"/>
      <w:sz w:val="16"/>
      <w:szCs w:val="16"/>
    </w:rPr>
  </w:style>
  <w:style w:type="character" w:customStyle="1" w:styleId="TekstbaloniaChar">
    <w:name w:val="Tekst balončića Char"/>
    <w:basedOn w:val="Zadanifontodlomka"/>
    <w:link w:val="Tekstbalonia"/>
    <w:uiPriority w:val="99"/>
    <w:semiHidden/>
    <w:rsid w:val="007D4508"/>
    <w:rPr>
      <w:rFonts w:ascii="Tahoma" w:eastAsia="MS Mincho" w:hAnsi="Tahoma" w:cs="Tahoma"/>
      <w:sz w:val="16"/>
      <w:szCs w:val="16"/>
      <w:lang w:eastAsia="ja-JP"/>
    </w:rPr>
  </w:style>
  <w:style w:type="table" w:styleId="Reetkatablice">
    <w:name w:val="Table Grid"/>
    <w:basedOn w:val="Obinatablica"/>
    <w:uiPriority w:val="59"/>
    <w:rsid w:val="007D4508"/>
    <w:pPr>
      <w:spacing w:after="0" w:line="240" w:lineRule="auto"/>
    </w:pPr>
    <w:rPr>
      <w:rFonts w:ascii="Times New Roman" w:eastAsia="MS Mincho"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7D4508"/>
    <w:rPr>
      <w:rFonts w:ascii="Courier New" w:hAnsi="Courier New" w:cs="Courier New"/>
      <w:sz w:val="20"/>
      <w:szCs w:val="20"/>
      <w:lang w:eastAsia="hr-HR"/>
    </w:rPr>
  </w:style>
  <w:style w:type="character" w:customStyle="1" w:styleId="ObinitekstChar">
    <w:name w:val="Obični tekst Char"/>
    <w:basedOn w:val="Zadanifontodlomka"/>
    <w:link w:val="Obinitekst"/>
    <w:uiPriority w:val="99"/>
    <w:rsid w:val="007D4508"/>
    <w:rPr>
      <w:rFonts w:ascii="Courier New" w:eastAsia="MS Mincho" w:hAnsi="Courier New" w:cs="Courier New"/>
      <w:sz w:val="20"/>
      <w:szCs w:val="20"/>
      <w:lang w:eastAsia="hr-HR"/>
    </w:rPr>
  </w:style>
  <w:style w:type="character" w:customStyle="1" w:styleId="spelle">
    <w:name w:val="spelle"/>
    <w:rsid w:val="007D4508"/>
    <w:rPr>
      <w:rFonts w:cs="Times New Roman"/>
    </w:rPr>
  </w:style>
  <w:style w:type="paragraph" w:customStyle="1" w:styleId="Default">
    <w:name w:val="Default"/>
    <w:rsid w:val="007D4508"/>
    <w:pPr>
      <w:autoSpaceDE w:val="0"/>
      <w:autoSpaceDN w:val="0"/>
      <w:adjustRightInd w:val="0"/>
      <w:spacing w:after="0" w:line="240" w:lineRule="auto"/>
    </w:pPr>
    <w:rPr>
      <w:rFonts w:ascii="Arial" w:eastAsia="Times New Roman" w:hAnsi="Arial" w:cs="Arial"/>
      <w:color w:val="000000"/>
      <w:sz w:val="24"/>
      <w:szCs w:val="24"/>
      <w:lang w:eastAsia="hr-HR"/>
    </w:rPr>
  </w:style>
  <w:style w:type="table" w:styleId="Obojanipopis-Isticanje1">
    <w:name w:val="Colorful List Accent 1"/>
    <w:basedOn w:val="Obinatablica"/>
    <w:uiPriority w:val="72"/>
    <w:rsid w:val="007D4508"/>
    <w:pPr>
      <w:spacing w:after="0" w:line="240" w:lineRule="auto"/>
    </w:pPr>
    <w:rPr>
      <w:rFonts w:ascii="Times New Roman" w:eastAsia="MS Mincho" w:hAnsi="Times New Roman" w:cs="Times New Roman"/>
      <w:color w:val="000000"/>
      <w:sz w:val="20"/>
      <w:szCs w:val="20"/>
      <w:lang w:eastAsia="hr-H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Referencakomentara">
    <w:name w:val="annotation reference"/>
    <w:uiPriority w:val="99"/>
    <w:rsid w:val="007D4508"/>
    <w:rPr>
      <w:sz w:val="16"/>
    </w:rPr>
  </w:style>
  <w:style w:type="paragraph" w:styleId="Tekstkomentara">
    <w:name w:val="annotation text"/>
    <w:basedOn w:val="Normal"/>
    <w:link w:val="TekstkomentaraChar"/>
    <w:uiPriority w:val="99"/>
    <w:rsid w:val="007D4508"/>
    <w:rPr>
      <w:sz w:val="20"/>
      <w:szCs w:val="20"/>
    </w:rPr>
  </w:style>
  <w:style w:type="character" w:customStyle="1" w:styleId="TekstkomentaraChar">
    <w:name w:val="Tekst komentara Char"/>
    <w:basedOn w:val="Zadanifontodlomka"/>
    <w:link w:val="Tekstkomentara"/>
    <w:uiPriority w:val="99"/>
    <w:rsid w:val="007D4508"/>
    <w:rPr>
      <w:rFonts w:ascii="Times New Roman" w:eastAsia="MS Mincho" w:hAnsi="Times New Roman" w:cs="Times New Roman"/>
      <w:sz w:val="20"/>
      <w:szCs w:val="20"/>
      <w:lang w:eastAsia="ja-JP"/>
    </w:rPr>
  </w:style>
  <w:style w:type="paragraph" w:styleId="Predmetkomentara">
    <w:name w:val="annotation subject"/>
    <w:basedOn w:val="Tekstkomentara"/>
    <w:next w:val="Tekstkomentara"/>
    <w:link w:val="PredmetkomentaraChar"/>
    <w:uiPriority w:val="99"/>
    <w:rsid w:val="007D4508"/>
    <w:rPr>
      <w:b/>
      <w:bCs/>
    </w:rPr>
  </w:style>
  <w:style w:type="character" w:customStyle="1" w:styleId="PredmetkomentaraChar">
    <w:name w:val="Predmet komentara Char"/>
    <w:basedOn w:val="TekstkomentaraChar"/>
    <w:link w:val="Predmetkomentara"/>
    <w:uiPriority w:val="99"/>
    <w:rsid w:val="007D4508"/>
    <w:rPr>
      <w:rFonts w:ascii="Times New Roman" w:eastAsia="MS Mincho" w:hAnsi="Times New Roman" w:cs="Times New Roman"/>
      <w:b/>
      <w:bCs/>
      <w:sz w:val="20"/>
      <w:szCs w:val="20"/>
      <w:lang w:eastAsia="ja-JP"/>
    </w:rPr>
  </w:style>
  <w:style w:type="paragraph" w:styleId="Odlomakpopisa">
    <w:name w:val="List Paragraph"/>
    <w:basedOn w:val="Normal"/>
    <w:uiPriority w:val="34"/>
    <w:qFormat/>
    <w:rsid w:val="007D4508"/>
    <w:pPr>
      <w:ind w:left="708"/>
    </w:pPr>
  </w:style>
  <w:style w:type="paragraph" w:styleId="Naslov">
    <w:name w:val="Title"/>
    <w:basedOn w:val="Normal"/>
    <w:next w:val="Normal"/>
    <w:link w:val="NaslovChar"/>
    <w:uiPriority w:val="10"/>
    <w:qFormat/>
    <w:rsid w:val="00952A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952A25"/>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Naslov1Char">
    <w:name w:val="Naslov 1 Char"/>
    <w:basedOn w:val="Zadanifontodlomka"/>
    <w:link w:val="Naslov1"/>
    <w:uiPriority w:val="9"/>
    <w:rsid w:val="00952A25"/>
    <w:rPr>
      <w:rFonts w:asciiTheme="majorHAnsi" w:eastAsiaTheme="majorEastAsia" w:hAnsiTheme="majorHAnsi" w:cstheme="majorBidi"/>
      <w:b/>
      <w:bCs/>
      <w:color w:val="365F91" w:themeColor="accent1" w:themeShade="BF"/>
      <w:sz w:val="28"/>
      <w:szCs w:val="28"/>
      <w:lang w:eastAsia="ja-JP"/>
    </w:rPr>
  </w:style>
  <w:style w:type="paragraph" w:styleId="TOCNaslov">
    <w:name w:val="TOC Heading"/>
    <w:basedOn w:val="Naslov1"/>
    <w:next w:val="Normal"/>
    <w:uiPriority w:val="39"/>
    <w:semiHidden/>
    <w:unhideWhenUsed/>
    <w:qFormat/>
    <w:rsid w:val="00952A25"/>
    <w:pPr>
      <w:spacing w:line="276" w:lineRule="auto"/>
      <w:outlineLvl w:val="9"/>
    </w:pPr>
    <w:rPr>
      <w:lang w:eastAsia="hr-HR"/>
    </w:rPr>
  </w:style>
  <w:style w:type="paragraph" w:styleId="Podnaslov">
    <w:name w:val="Subtitle"/>
    <w:basedOn w:val="Normal"/>
    <w:next w:val="Normal"/>
    <w:link w:val="PodnaslovChar"/>
    <w:uiPriority w:val="11"/>
    <w:qFormat/>
    <w:rsid w:val="00BB4D23"/>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BB4D23"/>
    <w:rPr>
      <w:rFonts w:asciiTheme="majorHAnsi" w:eastAsiaTheme="majorEastAsia" w:hAnsiTheme="majorHAnsi" w:cstheme="majorBidi"/>
      <w:i/>
      <w:iCs/>
      <w:color w:val="4F81BD" w:themeColor="accent1"/>
      <w:spacing w:val="15"/>
      <w:sz w:val="24"/>
      <w:szCs w:val="24"/>
      <w:lang w:eastAsia="ja-JP"/>
    </w:rPr>
  </w:style>
  <w:style w:type="character" w:customStyle="1" w:styleId="Naslov2Char">
    <w:name w:val="Naslov 2 Char"/>
    <w:basedOn w:val="Zadanifontodlomka"/>
    <w:link w:val="Naslov2"/>
    <w:uiPriority w:val="9"/>
    <w:rsid w:val="00BB4D23"/>
    <w:rPr>
      <w:rFonts w:asciiTheme="majorHAnsi" w:eastAsiaTheme="majorEastAsia" w:hAnsiTheme="majorHAnsi" w:cstheme="majorBidi"/>
      <w:b/>
      <w:bCs/>
      <w:color w:val="4F81BD" w:themeColor="accent1"/>
      <w:sz w:val="26"/>
      <w:szCs w:val="26"/>
      <w:lang w:eastAsia="ja-JP"/>
    </w:rPr>
  </w:style>
  <w:style w:type="character" w:customStyle="1" w:styleId="Naslov3Char">
    <w:name w:val="Naslov 3 Char"/>
    <w:basedOn w:val="Zadanifontodlomka"/>
    <w:link w:val="Naslov3"/>
    <w:uiPriority w:val="9"/>
    <w:rsid w:val="00422895"/>
    <w:rPr>
      <w:rFonts w:asciiTheme="majorHAnsi" w:eastAsiaTheme="majorEastAsia" w:hAnsiTheme="majorHAnsi" w:cstheme="majorBidi"/>
      <w:b/>
      <w:bCs/>
      <w:color w:val="4F81BD" w:themeColor="accent1"/>
      <w:sz w:val="24"/>
      <w:szCs w:val="24"/>
      <w:lang w:eastAsia="ja-JP"/>
    </w:rPr>
  </w:style>
  <w:style w:type="paragraph" w:styleId="Revizija">
    <w:name w:val="Revision"/>
    <w:hidden/>
    <w:uiPriority w:val="99"/>
    <w:semiHidden/>
    <w:rsid w:val="00867C72"/>
    <w:pPr>
      <w:spacing w:after="0" w:line="240" w:lineRule="auto"/>
    </w:pPr>
    <w:rPr>
      <w:rFonts w:ascii="Times New Roman" w:eastAsia="MS Mincho" w:hAnsi="Times New Roman" w:cs="Times New Roman"/>
      <w:sz w:val="24"/>
      <w:szCs w:val="24"/>
      <w:lang w:eastAsia="ja-JP"/>
    </w:rPr>
  </w:style>
  <w:style w:type="character" w:customStyle="1" w:styleId="Naslov4Char">
    <w:name w:val="Naslov 4 Char"/>
    <w:basedOn w:val="Zadanifontodlomka"/>
    <w:link w:val="Naslov4"/>
    <w:uiPriority w:val="9"/>
    <w:rsid w:val="00984C58"/>
    <w:rPr>
      <w:rFonts w:asciiTheme="majorHAnsi" w:eastAsiaTheme="majorEastAsia" w:hAnsiTheme="majorHAnsi" w:cstheme="majorBidi"/>
      <w:b/>
      <w:bCs/>
      <w:i/>
      <w:iCs/>
      <w:color w:val="4F81BD" w:themeColor="accent1"/>
      <w:sz w:val="24"/>
      <w:szCs w:val="24"/>
      <w:lang w:eastAsia="ja-JP"/>
    </w:rPr>
  </w:style>
  <w:style w:type="character" w:customStyle="1" w:styleId="Naslov5Char">
    <w:name w:val="Naslov 5 Char"/>
    <w:basedOn w:val="Zadanifontodlomka"/>
    <w:link w:val="Naslov5"/>
    <w:uiPriority w:val="9"/>
    <w:rsid w:val="00984C58"/>
    <w:rPr>
      <w:rFonts w:asciiTheme="majorHAnsi" w:eastAsiaTheme="majorEastAsia" w:hAnsiTheme="majorHAnsi" w:cstheme="majorBidi"/>
      <w:color w:val="243F60" w:themeColor="accent1" w:themeShade="7F"/>
      <w:sz w:val="24"/>
      <w:szCs w:val="24"/>
      <w:lang w:eastAsia="ja-JP"/>
    </w:rPr>
  </w:style>
  <w:style w:type="character" w:customStyle="1" w:styleId="Naslov6Char">
    <w:name w:val="Naslov 6 Char"/>
    <w:basedOn w:val="Zadanifontodlomka"/>
    <w:link w:val="Naslov6"/>
    <w:uiPriority w:val="9"/>
    <w:rsid w:val="00984C58"/>
    <w:rPr>
      <w:rFonts w:asciiTheme="majorHAnsi" w:eastAsiaTheme="majorEastAsia" w:hAnsiTheme="majorHAnsi" w:cstheme="majorBidi"/>
      <w:i/>
      <w:iCs/>
      <w:color w:val="243F60" w:themeColor="accent1" w:themeShade="7F"/>
      <w:sz w:val="24"/>
      <w:szCs w:val="24"/>
      <w:lang w:eastAsia="ja-JP"/>
    </w:rPr>
  </w:style>
  <w:style w:type="character" w:customStyle="1" w:styleId="Naslov7Char">
    <w:name w:val="Naslov 7 Char"/>
    <w:basedOn w:val="Zadanifontodlomka"/>
    <w:link w:val="Naslov7"/>
    <w:uiPriority w:val="9"/>
    <w:rsid w:val="00984C58"/>
    <w:rPr>
      <w:rFonts w:asciiTheme="majorHAnsi" w:eastAsiaTheme="majorEastAsia" w:hAnsiTheme="majorHAnsi" w:cstheme="majorBidi"/>
      <w:i/>
      <w:iCs/>
      <w:color w:val="404040" w:themeColor="text1" w:themeTint="BF"/>
      <w:sz w:val="24"/>
      <w:szCs w:val="24"/>
      <w:lang w:eastAsia="ja-JP"/>
    </w:rPr>
  </w:style>
  <w:style w:type="character" w:customStyle="1" w:styleId="Naslov8Char">
    <w:name w:val="Naslov 8 Char"/>
    <w:basedOn w:val="Zadanifontodlomka"/>
    <w:link w:val="Naslov8"/>
    <w:uiPriority w:val="9"/>
    <w:rsid w:val="00984C58"/>
    <w:rPr>
      <w:rFonts w:asciiTheme="majorHAnsi" w:eastAsiaTheme="majorEastAsia" w:hAnsiTheme="majorHAnsi" w:cstheme="majorBidi"/>
      <w:color w:val="404040" w:themeColor="text1" w:themeTint="BF"/>
      <w:sz w:val="20"/>
      <w:szCs w:val="20"/>
      <w:lang w:eastAsia="ja-JP"/>
    </w:rPr>
  </w:style>
  <w:style w:type="character" w:customStyle="1" w:styleId="Naslov9Char">
    <w:name w:val="Naslov 9 Char"/>
    <w:basedOn w:val="Zadanifontodlomka"/>
    <w:link w:val="Naslov9"/>
    <w:uiPriority w:val="9"/>
    <w:rsid w:val="00984C58"/>
    <w:rPr>
      <w:rFonts w:asciiTheme="majorHAnsi" w:eastAsiaTheme="majorEastAsia" w:hAnsiTheme="majorHAnsi" w:cstheme="majorBidi"/>
      <w:i/>
      <w:iCs/>
      <w:color w:val="404040" w:themeColor="text1" w:themeTint="BF"/>
      <w:sz w:val="20"/>
      <w:szCs w:val="20"/>
      <w:lang w:eastAsia="ja-JP"/>
    </w:rPr>
  </w:style>
  <w:style w:type="character" w:styleId="SlijeenaHiperveza">
    <w:name w:val="FollowedHyperlink"/>
    <w:basedOn w:val="Zadanifontodlomka"/>
    <w:uiPriority w:val="99"/>
    <w:semiHidden/>
    <w:unhideWhenUsed/>
    <w:rsid w:val="00D10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2574">
      <w:bodyDiv w:val="1"/>
      <w:marLeft w:val="0"/>
      <w:marRight w:val="0"/>
      <w:marTop w:val="0"/>
      <w:marBottom w:val="0"/>
      <w:divBdr>
        <w:top w:val="none" w:sz="0" w:space="0" w:color="auto"/>
        <w:left w:val="none" w:sz="0" w:space="0" w:color="auto"/>
        <w:bottom w:val="none" w:sz="0" w:space="0" w:color="auto"/>
        <w:right w:val="none" w:sz="0" w:space="0" w:color="auto"/>
      </w:divBdr>
    </w:div>
    <w:div w:id="162970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Sheet1!$B$2</c:f>
              <c:strCache>
                <c:ptCount val="1"/>
                <c:pt idx="0">
                  <c:v>svi izolati</c:v>
                </c:pt>
              </c:strCache>
            </c:strRef>
          </c:tx>
          <c:marker>
            <c:symbol val="none"/>
          </c:marker>
          <c:cat>
            <c:numRef>
              <c:f>Sheet1!$A$3:$A$18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Sheet1!$B$3:$B$18</c:f>
              <c:numCache>
                <c:formatCode>General</c:formatCode>
                <c:ptCount val="16"/>
                <c:pt idx="0">
                  <c:v>22</c:v>
                </c:pt>
                <c:pt idx="1">
                  <c:v>21</c:v>
                </c:pt>
                <c:pt idx="2">
                  <c:v>21</c:v>
                </c:pt>
                <c:pt idx="3">
                  <c:v>24</c:v>
                </c:pt>
                <c:pt idx="4">
                  <c:v>19</c:v>
                </c:pt>
                <c:pt idx="5">
                  <c:v>21</c:v>
                </c:pt>
                <c:pt idx="6">
                  <c:v>23</c:v>
                </c:pt>
                <c:pt idx="7">
                  <c:v>25</c:v>
                </c:pt>
                <c:pt idx="8">
                  <c:v>26</c:v>
                </c:pt>
                <c:pt idx="9">
                  <c:v>21</c:v>
                </c:pt>
                <c:pt idx="10">
                  <c:v>16</c:v>
                </c:pt>
                <c:pt idx="11">
                  <c:v>14</c:v>
                </c:pt>
                <c:pt idx="12">
                  <c:v>13</c:v>
                </c:pt>
                <c:pt idx="13">
                  <c:v>12</c:v>
                </c:pt>
                <c:pt idx="14">
                  <c:v>12</c:v>
                </c:pt>
                <c:pt idx="15">
                  <c:v>14</c:v>
                </c:pt>
              </c:numCache>
            </c:numRef>
          </c:val>
          <c:smooth val="0"/>
          <c:extLst>
            <c:ext xmlns:c16="http://schemas.microsoft.com/office/drawing/2014/chart" uri="{C3380CC4-5D6E-409C-BE32-E72D297353CC}">
              <c16:uniqueId val="{00000000-6511-4B70-BB16-A2BC00F4F910}"/>
            </c:ext>
          </c:extLst>
        </c:ser>
        <c:ser>
          <c:idx val="1"/>
          <c:order val="1"/>
          <c:tx>
            <c:strRef>
              <c:f>Sheet1!$C$2</c:f>
              <c:strCache>
                <c:ptCount val="1"/>
                <c:pt idx="0">
                  <c:v>invazivni izolati</c:v>
                </c:pt>
              </c:strCache>
            </c:strRef>
          </c:tx>
          <c:spPr>
            <a:ln>
              <a:solidFill>
                <a:srgbClr val="FF0000"/>
              </a:solidFill>
            </a:ln>
          </c:spPr>
          <c:marker>
            <c:symbol val="none"/>
          </c:marker>
          <c:cat>
            <c:numRef>
              <c:f>Sheet1!$A$3:$A$18</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Sheet1!$C$3:$C$18</c:f>
              <c:numCache>
                <c:formatCode>General</c:formatCode>
                <c:ptCount val="16"/>
                <c:pt idx="1">
                  <c:v>32</c:v>
                </c:pt>
                <c:pt idx="2">
                  <c:v>37</c:v>
                </c:pt>
                <c:pt idx="3">
                  <c:v>37</c:v>
                </c:pt>
                <c:pt idx="4">
                  <c:v>38</c:v>
                </c:pt>
                <c:pt idx="5">
                  <c:v>37</c:v>
                </c:pt>
                <c:pt idx="6">
                  <c:v>36</c:v>
                </c:pt>
                <c:pt idx="7">
                  <c:v>38</c:v>
                </c:pt>
                <c:pt idx="8">
                  <c:v>35</c:v>
                </c:pt>
                <c:pt idx="9">
                  <c:v>37</c:v>
                </c:pt>
                <c:pt idx="10">
                  <c:v>27</c:v>
                </c:pt>
                <c:pt idx="11">
                  <c:v>27</c:v>
                </c:pt>
                <c:pt idx="12">
                  <c:v>22</c:v>
                </c:pt>
                <c:pt idx="13">
                  <c:v>24</c:v>
                </c:pt>
                <c:pt idx="14">
                  <c:v>21</c:v>
                </c:pt>
                <c:pt idx="15">
                  <c:v>25</c:v>
                </c:pt>
              </c:numCache>
            </c:numRef>
          </c:val>
          <c:smooth val="0"/>
          <c:extLst>
            <c:ext xmlns:c16="http://schemas.microsoft.com/office/drawing/2014/chart" uri="{C3380CC4-5D6E-409C-BE32-E72D297353CC}">
              <c16:uniqueId val="{00000001-6511-4B70-BB16-A2BC00F4F910}"/>
            </c:ext>
          </c:extLst>
        </c:ser>
        <c:dLbls>
          <c:showLegendKey val="0"/>
          <c:showVal val="0"/>
          <c:showCatName val="0"/>
          <c:showSerName val="0"/>
          <c:showPercent val="0"/>
          <c:showBubbleSize val="0"/>
        </c:dLbls>
        <c:smooth val="0"/>
        <c:axId val="260691376"/>
        <c:axId val="261396528"/>
      </c:lineChart>
      <c:catAx>
        <c:axId val="260691376"/>
        <c:scaling>
          <c:orientation val="minMax"/>
        </c:scaling>
        <c:delete val="0"/>
        <c:axPos val="b"/>
        <c:numFmt formatCode="General" sourceLinked="1"/>
        <c:majorTickMark val="out"/>
        <c:minorTickMark val="none"/>
        <c:tickLblPos val="nextTo"/>
        <c:txPr>
          <a:bodyPr/>
          <a:lstStyle/>
          <a:p>
            <a:pPr>
              <a:defRPr sz="1400" baseline="0">
                <a:solidFill>
                  <a:schemeClr val="tx1"/>
                </a:solidFill>
              </a:defRPr>
            </a:pPr>
            <a:endParaRPr lang="sr-Latn-RS"/>
          </a:p>
        </c:txPr>
        <c:crossAx val="261396528"/>
        <c:crosses val="autoZero"/>
        <c:auto val="0"/>
        <c:lblAlgn val="ctr"/>
        <c:lblOffset val="100"/>
        <c:noMultiLvlLbl val="0"/>
      </c:catAx>
      <c:valAx>
        <c:axId val="261396528"/>
        <c:scaling>
          <c:orientation val="minMax"/>
          <c:max val="100"/>
          <c:min val="0"/>
        </c:scaling>
        <c:delete val="0"/>
        <c:axPos val="l"/>
        <c:majorGridlines/>
        <c:numFmt formatCode="General" sourceLinked="1"/>
        <c:majorTickMark val="out"/>
        <c:minorTickMark val="none"/>
        <c:tickLblPos val="nextTo"/>
        <c:txPr>
          <a:bodyPr/>
          <a:lstStyle/>
          <a:p>
            <a:pPr>
              <a:defRPr sz="1400" baseline="0">
                <a:solidFill>
                  <a:schemeClr val="tx1"/>
                </a:solidFill>
              </a:defRPr>
            </a:pPr>
            <a:endParaRPr lang="sr-Latn-RS"/>
          </a:p>
        </c:txPr>
        <c:crossAx val="260691376"/>
        <c:crosses val="autoZero"/>
        <c:crossBetween val="between"/>
      </c:valAx>
      <c:spPr>
        <a:noFill/>
        <a:ln w="25402">
          <a:noFill/>
        </a:ln>
      </c:spPr>
    </c:plotArea>
    <c:legend>
      <c:legendPos val="b"/>
      <c:layout/>
      <c:overlay val="0"/>
      <c:txPr>
        <a:bodyPr/>
        <a:lstStyle/>
        <a:p>
          <a:pPr>
            <a:defRPr sz="1400" baseline="0">
              <a:solidFill>
                <a:schemeClr val="tx1"/>
              </a:solidFill>
            </a:defRPr>
          </a:pPr>
          <a:endParaRPr lang="sr-Latn-RS"/>
        </a:p>
      </c:txPr>
    </c:legend>
    <c:plotVisOnly val="1"/>
    <c:dispBlanksAs val="gap"/>
    <c:showDLblsOverMax val="0"/>
  </c:chart>
  <c:spPr>
    <a:noFill/>
    <a:ln>
      <a:noFill/>
    </a:ln>
  </c:spPr>
  <c:txPr>
    <a:bodyPr/>
    <a:lstStyle/>
    <a:p>
      <a:pPr>
        <a:defRPr sz="1800"/>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7B6F-2FF6-46B8-82AC-0D7CF856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6582</Words>
  <Characters>37524</Characters>
  <Application>Microsoft Office Word</Application>
  <DocSecurity>4</DocSecurity>
  <Lines>312</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Stamenic Valerija</dc:creator>
  <cp:lastModifiedBy>Rems Dobrin Vesna</cp:lastModifiedBy>
  <cp:revision>2</cp:revision>
  <cp:lastPrinted>2017-11-13T10:00:00Z</cp:lastPrinted>
  <dcterms:created xsi:type="dcterms:W3CDTF">2019-05-29T11:24:00Z</dcterms:created>
  <dcterms:modified xsi:type="dcterms:W3CDTF">2019-05-29T11:24:00Z</dcterms:modified>
</cp:coreProperties>
</file>